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s>
        <w:adjustRightInd w:val="0"/>
        <w:snapToGrid w:val="0"/>
        <w:spacing w:line="580" w:lineRule="exact"/>
        <w:jc w:val="center"/>
        <w:rPr>
          <w:rFonts w:hint="eastAsia" w:ascii="方正小标宋简体" w:hAnsi="宋体" w:eastAsia="方正小标宋简体"/>
          <w:bCs/>
          <w:sz w:val="36"/>
          <w:szCs w:val="36"/>
        </w:rPr>
      </w:pPr>
      <w:r>
        <w:rPr>
          <w:rFonts w:hint="eastAsia" w:ascii="方正小标宋简体" w:hAnsi="宋体" w:eastAsia="方正小标宋简体"/>
          <w:bCs/>
          <w:sz w:val="36"/>
          <w:szCs w:val="36"/>
          <w:lang w:val="en-US" w:eastAsia="zh-CN"/>
        </w:rPr>
        <w:t>中国地质大学（北京）</w:t>
      </w:r>
      <w:r>
        <w:rPr>
          <w:rFonts w:hint="eastAsia" w:ascii="方正小标宋简体" w:hAnsi="宋体" w:eastAsia="方正小标宋简体"/>
          <w:bCs/>
          <w:sz w:val="36"/>
          <w:szCs w:val="36"/>
        </w:rPr>
        <w:t>地球科学与资源学院</w:t>
      </w:r>
    </w:p>
    <w:p>
      <w:pPr>
        <w:tabs>
          <w:tab w:val="left" w:pos="0"/>
        </w:tabs>
        <w:adjustRightInd w:val="0"/>
        <w:snapToGrid w:val="0"/>
        <w:spacing w:line="580" w:lineRule="exact"/>
        <w:jc w:val="center"/>
        <w:rPr>
          <w:rFonts w:hint="eastAsia" w:ascii="宋体" w:hAnsi="宋体" w:eastAsia="宋体" w:cs="宋体"/>
          <w:b/>
          <w:sz w:val="36"/>
          <w:szCs w:val="36"/>
          <w:lang w:eastAsia="zh-CN"/>
        </w:rPr>
      </w:pPr>
      <w:r>
        <w:rPr>
          <w:rFonts w:hint="eastAsia" w:ascii="方正小标宋简体" w:hAnsi="宋体" w:eastAsia="方正小标宋简体"/>
          <w:bCs/>
          <w:sz w:val="36"/>
          <w:szCs w:val="36"/>
        </w:rPr>
        <w:t>研究生国家奖学金</w:t>
      </w:r>
      <w:r>
        <w:rPr>
          <w:rFonts w:hint="eastAsia" w:ascii="方正小标宋简体" w:hAnsi="宋体" w:eastAsia="方正小标宋简体"/>
          <w:bCs/>
          <w:sz w:val="36"/>
          <w:szCs w:val="36"/>
          <w:lang w:val="en-US" w:eastAsia="zh-CN"/>
        </w:rPr>
        <w:t>评选实施</w:t>
      </w:r>
      <w:r>
        <w:rPr>
          <w:rFonts w:hint="eastAsia" w:ascii="方正小标宋简体" w:hAnsi="宋体" w:eastAsia="方正小标宋简体"/>
          <w:bCs/>
          <w:sz w:val="36"/>
          <w:szCs w:val="36"/>
          <w:lang w:eastAsia="zh-CN"/>
        </w:rPr>
        <w:t>细则（</w:t>
      </w:r>
      <w:r>
        <w:rPr>
          <w:rFonts w:hint="eastAsia" w:ascii="方正小标宋简体" w:hAnsi="宋体" w:eastAsia="方正小标宋简体"/>
          <w:bCs/>
          <w:sz w:val="36"/>
          <w:szCs w:val="36"/>
          <w:lang w:val="en-US" w:eastAsia="zh-CN"/>
        </w:rPr>
        <w:t>试行</w:t>
      </w:r>
      <w:r>
        <w:rPr>
          <w:rFonts w:hint="eastAsia" w:ascii="方正小标宋简体" w:hAnsi="宋体" w:eastAsia="方正小标宋简体"/>
          <w:bCs/>
          <w:sz w:val="36"/>
          <w:szCs w:val="36"/>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jc w:val="center"/>
        <w:textAlignment w:val="auto"/>
        <w:rPr>
          <w:rFonts w:hint="eastAsia" w:ascii="宋体" w:hAnsi="宋体" w:eastAsia="宋体" w:cs="宋体"/>
          <w:b/>
          <w:sz w:val="36"/>
          <w:szCs w:val="36"/>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jc w:val="center"/>
        <w:textAlignment w:val="auto"/>
        <w:rPr>
          <w:rFonts w:hint="eastAsia" w:ascii="黑体" w:hAnsi="黑体" w:eastAsia="黑体" w:cs="黑体"/>
          <w:b/>
          <w:sz w:val="28"/>
          <w:szCs w:val="28"/>
          <w:lang w:val="en-US" w:eastAsia="zh-CN"/>
        </w:rPr>
      </w:pPr>
      <w:r>
        <w:rPr>
          <w:rFonts w:hint="eastAsia" w:ascii="黑体" w:hAnsi="黑体" w:eastAsia="黑体" w:cs="黑体"/>
          <w:b w:val="0"/>
          <w:bCs/>
          <w:sz w:val="28"/>
          <w:szCs w:val="28"/>
          <w:lang w:val="en-US" w:eastAsia="zh-CN"/>
        </w:rPr>
        <w:t>第一章  总则</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为进一步规范我院研究生国家奖学金评审工作，确保评审质量和评审结果的权威性，激励研究生勤奋学习、专心科研，</w:t>
      </w:r>
      <w:r>
        <w:rPr>
          <w:rFonts w:eastAsia="仿宋"/>
          <w:sz w:val="28"/>
          <w:szCs w:val="28"/>
          <w:highlight w:val="none"/>
        </w:rPr>
        <w:t>根据《中国地质大学（北京）研究生学业奖助学金管理办法》（中地大京发〔2018〕3号），《</w:t>
      </w:r>
      <w:r>
        <w:rPr>
          <w:rFonts w:hint="eastAsia" w:eastAsia="仿宋"/>
          <w:sz w:val="28"/>
          <w:szCs w:val="28"/>
          <w:highlight w:val="none"/>
        </w:rPr>
        <w:t>中国地质大学（北京）研究生科技创新基金管理办法》（中地大京发〔2021〕30号）</w:t>
      </w:r>
      <w:r>
        <w:rPr>
          <w:rFonts w:hint="eastAsia" w:ascii="仿宋" w:hAnsi="仿宋" w:eastAsia="仿宋" w:cs="仿宋"/>
          <w:b w:val="0"/>
          <w:bCs/>
          <w:sz w:val="28"/>
          <w:szCs w:val="28"/>
          <w:highlight w:val="none"/>
          <w:lang w:val="en-US" w:eastAsia="zh-CN"/>
        </w:rPr>
        <w:t>文件精神，结合本学</w:t>
      </w:r>
      <w:r>
        <w:rPr>
          <w:rFonts w:hint="eastAsia" w:ascii="仿宋" w:hAnsi="仿宋" w:eastAsia="仿宋" w:cs="仿宋"/>
          <w:b w:val="0"/>
          <w:bCs/>
          <w:sz w:val="28"/>
          <w:szCs w:val="28"/>
          <w:lang w:val="en-US" w:eastAsia="zh-CN"/>
        </w:rPr>
        <w:t>院实际情况，特制定《中国地质大学（北京）地球科学与资源学院研究生国家奖学金评选实施细则》。</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_GB2312" w:eastAsia="仿宋_GB2312"/>
          <w:sz w:val="28"/>
          <w:szCs w:val="28"/>
          <w:lang w:val="en-US" w:eastAsia="zh-CN"/>
        </w:rPr>
        <w:t xml:space="preserve"> 研究</w:t>
      </w:r>
      <w:r>
        <w:rPr>
          <w:rFonts w:hint="eastAsia" w:ascii="仿宋_GB2312" w:eastAsia="仿宋_GB2312"/>
          <w:sz w:val="28"/>
          <w:szCs w:val="28"/>
        </w:rPr>
        <w:t>生国家奖学金用于奖励我</w:t>
      </w:r>
      <w:r>
        <w:rPr>
          <w:rFonts w:hint="eastAsia" w:ascii="仿宋_GB2312" w:eastAsia="仿宋_GB2312"/>
          <w:sz w:val="28"/>
          <w:szCs w:val="28"/>
          <w:lang w:val="en-US" w:eastAsia="zh-CN"/>
        </w:rPr>
        <w:t>院表现优异的</w:t>
      </w:r>
      <w:r>
        <w:rPr>
          <w:rFonts w:hint="eastAsia" w:ascii="仿宋_GB2312" w:eastAsia="仿宋_GB2312"/>
          <w:sz w:val="28"/>
          <w:szCs w:val="28"/>
        </w:rPr>
        <w:t>全日制</w:t>
      </w:r>
      <w:r>
        <w:rPr>
          <w:rFonts w:hint="eastAsia" w:ascii="仿宋_GB2312" w:eastAsia="仿宋_GB2312"/>
          <w:sz w:val="28"/>
          <w:szCs w:val="28"/>
          <w:lang w:val="en-US" w:eastAsia="zh-CN"/>
        </w:rPr>
        <w:t>研究生（不含定向及委培研究生）。</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Chars="0"/>
        <w:jc w:val="center"/>
        <w:textAlignment w:val="auto"/>
        <w:rPr>
          <w:rFonts w:hint="default" w:ascii="仿宋" w:hAnsi="仿宋" w:eastAsia="仿宋" w:cs="仿宋"/>
          <w:b w:val="0"/>
          <w:bCs/>
          <w:sz w:val="28"/>
          <w:szCs w:val="28"/>
          <w:lang w:val="en-US" w:eastAsia="zh-CN"/>
        </w:rPr>
      </w:pPr>
      <w:r>
        <w:rPr>
          <w:rFonts w:hint="eastAsia" w:ascii="黑体" w:hAnsi="黑体" w:eastAsia="黑体" w:cs="黑体"/>
          <w:b w:val="0"/>
          <w:bCs/>
          <w:sz w:val="28"/>
          <w:szCs w:val="28"/>
          <w:lang w:val="en-US" w:eastAsia="zh-CN"/>
        </w:rPr>
        <w:t>第二章  奖励标准与评选条件</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博士研究生国家奖学金奖励标准为每生每年3万元；硕士研究生国家奖学金奖励标准为每生每年2万元。</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研究生国家奖学金的基本申请条件：</w:t>
      </w:r>
    </w:p>
    <w:p>
      <w:pPr>
        <w:keepNext w:val="0"/>
        <w:keepLines w:val="0"/>
        <w:pageBreakBefore w:val="0"/>
        <w:widowControl w:val="0"/>
        <w:numPr>
          <w:ilvl w:val="0"/>
          <w:numId w:val="2"/>
        </w:numPr>
        <w:kinsoku/>
        <w:wordWrap/>
        <w:overflowPunct/>
        <w:topLinePunct w:val="0"/>
        <w:autoSpaceDE/>
        <w:autoSpaceDN/>
        <w:bidi w:val="0"/>
        <w:adjustRightInd/>
        <w:snapToGrid/>
        <w:spacing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具有中华人民共和国国籍；</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热爱社会主义祖国，拥护中国共产党的领导；</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遵守宪法和法律，遵守高等学校规章制度；</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诚实守信，道德品质优良；</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学习成绩优异，科研能力显著，发展潜力突出。</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在符合基本条件的前提下，申请人还应满足以下具体条件：</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（一）年级要求：在学制期限基本修业年限内，在校二年级以上（含二年级）的</w:t>
      </w:r>
      <w:r>
        <w:rPr>
          <w:rFonts w:hint="eastAsia" w:ascii="仿宋" w:hAnsi="仿宋" w:eastAsia="仿宋" w:cs="仿宋"/>
          <w:b w:val="0"/>
          <w:bCs/>
          <w:sz w:val="28"/>
          <w:szCs w:val="28"/>
          <w:lang w:val="en-US" w:eastAsia="zh-CN"/>
        </w:rPr>
        <w:t>全日制</w:t>
      </w:r>
      <w:r>
        <w:rPr>
          <w:rFonts w:hint="default" w:ascii="仿宋" w:hAnsi="仿宋" w:eastAsia="仿宋" w:cs="仿宋"/>
          <w:b w:val="0"/>
          <w:bCs/>
          <w:sz w:val="28"/>
          <w:szCs w:val="28"/>
          <w:lang w:val="en-US" w:eastAsia="zh-CN"/>
        </w:rPr>
        <w:t>硕士、博士研究生（含直博生）。硕博连读博士阶段一年级学生也可参评。（不含定向及委培研究生）</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（二）成绩要求：按规定完成课程学习，无补考科目，且学位必修课程成绩优良。</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（三）科研成果要求：参评学年内（上一年度9月1日至当年8月31日）科研成果突出。</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研究生出现以下任一情况，不具备当年研究生国家奖学金参评资格：</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参评学年违反国家法律，校纪校规受到纪律处分者；</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参评学年有抄袭剽窃、弄虚作假等学术不端行为经查证属实的；</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参评学年学籍状态处于休学、保留学籍者。</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highlight w:val="none"/>
          <w:lang w:val="en-US" w:eastAsia="zh-CN"/>
        </w:rPr>
      </w:pPr>
      <w:r>
        <w:rPr>
          <w:rFonts w:hint="default" w:ascii="仿宋" w:hAnsi="仿宋" w:eastAsia="仿宋" w:cs="仿宋"/>
          <w:b w:val="0"/>
          <w:bCs/>
          <w:sz w:val="28"/>
          <w:szCs w:val="28"/>
          <w:lang w:val="en-US" w:eastAsia="zh-CN"/>
        </w:rPr>
        <w:t>第</w:t>
      </w:r>
      <w:r>
        <w:rPr>
          <w:rFonts w:hint="eastAsia" w:ascii="仿宋" w:hAnsi="仿宋" w:eastAsia="仿宋" w:cs="仿宋"/>
          <w:b w:val="0"/>
          <w:bCs/>
          <w:sz w:val="28"/>
          <w:szCs w:val="28"/>
          <w:lang w:val="en-US" w:eastAsia="zh-CN"/>
        </w:rPr>
        <w:t>七</w:t>
      </w:r>
      <w:r>
        <w:rPr>
          <w:rFonts w:hint="default" w:ascii="仿宋" w:hAnsi="仿宋" w:eastAsia="仿宋" w:cs="仿宋"/>
          <w:b w:val="0"/>
          <w:bCs/>
          <w:sz w:val="28"/>
          <w:szCs w:val="28"/>
          <w:lang w:val="en-US" w:eastAsia="zh-CN"/>
        </w:rPr>
        <w:t xml:space="preserve">条 </w:t>
      </w:r>
      <w:r>
        <w:rPr>
          <w:rFonts w:hint="eastAsia" w:ascii="仿宋" w:hAnsi="仿宋" w:eastAsia="仿宋" w:cs="仿宋"/>
          <w:b w:val="0"/>
          <w:bCs/>
          <w:sz w:val="28"/>
          <w:szCs w:val="28"/>
          <w:lang w:val="en-US" w:eastAsia="zh-CN"/>
        </w:rPr>
        <w:t xml:space="preserve"> </w:t>
      </w:r>
      <w:r>
        <w:rPr>
          <w:rFonts w:hint="default" w:ascii="仿宋" w:hAnsi="仿宋" w:eastAsia="仿宋" w:cs="仿宋"/>
          <w:b w:val="0"/>
          <w:bCs/>
          <w:sz w:val="28"/>
          <w:szCs w:val="28"/>
          <w:lang w:val="en-US" w:eastAsia="zh-CN"/>
        </w:rPr>
        <w:t>研究生在学制期限基本修业年限内可多次获得研究生国家奖学金</w:t>
      </w:r>
      <w:r>
        <w:rPr>
          <w:rFonts w:hint="eastAsia" w:ascii="仿宋" w:hAnsi="仿宋" w:eastAsia="仿宋" w:cs="仿宋"/>
          <w:b w:val="0"/>
          <w:bCs/>
          <w:sz w:val="28"/>
          <w:szCs w:val="28"/>
          <w:lang w:val="en-US" w:eastAsia="zh-CN"/>
        </w:rPr>
        <w:t>，获奖成果不可重复申报使用。</w:t>
      </w:r>
      <w:r>
        <w:rPr>
          <w:rFonts w:hint="eastAsia" w:ascii="仿宋" w:hAnsi="仿宋" w:eastAsia="仿宋" w:cs="仿宋"/>
          <w:b w:val="0"/>
          <w:bCs/>
          <w:sz w:val="28"/>
          <w:szCs w:val="28"/>
          <w:highlight w:val="none"/>
          <w:lang w:val="en-US" w:eastAsia="zh-CN"/>
        </w:rPr>
        <w:t>已作为支撑材料获评其他类别奖学金的科研成果，不得再作为同一参评学年内申报研究生国家奖学金的科研成果；已作为支撑材料获评当年度研究生国家奖学金的科研成果，不得再用于申请当年度和未来年度内的其他类别奖学金。</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sz w:val="28"/>
          <w:szCs w:val="28"/>
          <w:lang w:val="en-US" w:eastAsia="zh-CN"/>
        </w:rPr>
      </w:pPr>
      <w:r>
        <w:rPr>
          <w:rFonts w:hint="default" w:ascii="仿宋" w:hAnsi="仿宋" w:eastAsia="仿宋" w:cs="仿宋"/>
          <w:b w:val="0"/>
          <w:bCs/>
          <w:sz w:val="28"/>
          <w:szCs w:val="28"/>
          <w:lang w:val="en-US" w:eastAsia="zh-CN"/>
        </w:rPr>
        <w:t>第</w:t>
      </w:r>
      <w:r>
        <w:rPr>
          <w:rFonts w:hint="eastAsia" w:ascii="仿宋" w:hAnsi="仿宋" w:eastAsia="仿宋" w:cs="仿宋"/>
          <w:b w:val="0"/>
          <w:bCs/>
          <w:sz w:val="28"/>
          <w:szCs w:val="28"/>
          <w:lang w:val="en-US" w:eastAsia="zh-CN"/>
        </w:rPr>
        <w:t>八</w:t>
      </w:r>
      <w:r>
        <w:rPr>
          <w:rFonts w:hint="default" w:ascii="仿宋" w:hAnsi="仿宋" w:eastAsia="仿宋" w:cs="仿宋"/>
          <w:b w:val="0"/>
          <w:bCs/>
          <w:sz w:val="28"/>
          <w:szCs w:val="28"/>
          <w:lang w:val="en-US" w:eastAsia="zh-CN"/>
        </w:rPr>
        <w:t xml:space="preserve">条 </w:t>
      </w:r>
      <w:r>
        <w:rPr>
          <w:rFonts w:hint="eastAsia" w:ascii="仿宋" w:hAnsi="仿宋" w:eastAsia="仿宋" w:cs="仿宋"/>
          <w:b w:val="0"/>
          <w:bCs/>
          <w:sz w:val="28"/>
          <w:szCs w:val="28"/>
          <w:lang w:val="en-US" w:eastAsia="zh-CN"/>
        </w:rPr>
        <w:t xml:space="preserve"> </w:t>
      </w:r>
      <w:r>
        <w:rPr>
          <w:rFonts w:hint="default" w:ascii="仿宋" w:hAnsi="仿宋" w:eastAsia="仿宋" w:cs="仿宋"/>
          <w:b w:val="0"/>
          <w:bCs/>
          <w:sz w:val="28"/>
          <w:szCs w:val="28"/>
          <w:lang w:val="en-US" w:eastAsia="zh-CN"/>
        </w:rPr>
        <w:t>在学制期限基本修业年限内，因国家和单位公派出国留学或校际交流在境外学习的研究生，仍具备研究生国家奖学金参评资格；由于因私出国留学、疾病、创业等原因未在校学习的研究生，期间内原则上不具备研究生国家奖学金参评资格。</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center"/>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第三章 评审组织机构</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第</w:t>
      </w:r>
      <w:r>
        <w:rPr>
          <w:rFonts w:hint="eastAsia" w:ascii="仿宋" w:hAnsi="仿宋" w:eastAsia="仿宋" w:cs="仿宋"/>
          <w:b w:val="0"/>
          <w:bCs/>
          <w:sz w:val="28"/>
          <w:szCs w:val="28"/>
          <w:lang w:val="en-US" w:eastAsia="zh-CN"/>
        </w:rPr>
        <w:t>九</w:t>
      </w:r>
      <w:r>
        <w:rPr>
          <w:rFonts w:hint="default" w:ascii="仿宋" w:hAnsi="仿宋" w:eastAsia="仿宋" w:cs="仿宋"/>
          <w:b w:val="0"/>
          <w:bCs/>
          <w:sz w:val="28"/>
          <w:szCs w:val="28"/>
          <w:lang w:val="en-US" w:eastAsia="zh-CN"/>
        </w:rPr>
        <w:t xml:space="preserve">条 </w:t>
      </w:r>
      <w:r>
        <w:rPr>
          <w:rFonts w:hint="eastAsia" w:ascii="仿宋" w:hAnsi="仿宋" w:eastAsia="仿宋" w:cs="仿宋"/>
          <w:b w:val="0"/>
          <w:bCs/>
          <w:sz w:val="28"/>
          <w:szCs w:val="28"/>
          <w:lang w:val="en-US" w:eastAsia="zh-CN"/>
        </w:rPr>
        <w:t xml:space="preserve"> 在学校国家奖助学金评审工作领导小组（以下简称领导小组）的领导下，地球科学与资源学院成立研究生国家奖学金评审委员会（以下简称评审委员会），负责本学院研究生国家奖学金的评审工作。</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评审委员会由地学院主要领导任主任委员，分管学生工作和研究生教学的领导、研究生教学秘书、研究生辅导员、研究生导师和研究生代表（未申报当年度国家奖学金）任委员。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评审委员会下设办公室，设在学院学工组，负责组织、协调本学院的评审工作，办公室主任由学工组长兼任</w:t>
      </w:r>
      <w:r>
        <w:rPr>
          <w:rFonts w:hint="eastAsia" w:ascii="仿宋" w:hAnsi="仿宋" w:eastAsia="仿宋" w:cs="仿宋"/>
          <w:b w:val="0"/>
          <w:bCs/>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center"/>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第四章 名额分配及评审指标体系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第十条  研究生国家奖学金每学年评审一次，根据学校下发至我院的名额，秉持着公开、公平、公正、择优的原则，分别进行硕士生国家奖学金和博士生国家奖学金的等额评审。一经发现有弄虚作假者，取消当年所获研究生国家奖学金的资格。</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第十一条  评审指标体系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硕士研究生国家奖学金和博士研究生国家奖学金分别建立不同的评审指标体系。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2" w:firstLineChars="200"/>
        <w:jc w:val="both"/>
        <w:textAlignment w:val="auto"/>
        <w:rPr>
          <w:rFonts w:hint="eastAsia" w:ascii="仿宋" w:hAnsi="仿宋" w:eastAsia="仿宋" w:cs="仿宋"/>
          <w:b/>
          <w:bCs w:val="0"/>
          <w:i/>
          <w:iCs/>
          <w:sz w:val="28"/>
          <w:szCs w:val="28"/>
          <w:lang w:eastAsia="zh-CN"/>
        </w:rPr>
      </w:pPr>
      <w:r>
        <w:rPr>
          <w:rFonts w:hint="eastAsia" w:ascii="仿宋" w:hAnsi="仿宋" w:eastAsia="仿宋" w:cs="仿宋"/>
          <w:b/>
          <w:bCs w:val="0"/>
          <w:i/>
          <w:iCs/>
          <w:sz w:val="28"/>
          <w:szCs w:val="28"/>
          <w:lang w:eastAsia="zh-CN"/>
        </w:rPr>
        <w:t>【</w:t>
      </w:r>
      <w:r>
        <w:rPr>
          <w:rFonts w:hint="eastAsia" w:ascii="仿宋" w:hAnsi="仿宋" w:eastAsia="仿宋" w:cs="仿宋"/>
          <w:b/>
          <w:bCs w:val="0"/>
          <w:i/>
          <w:iCs/>
          <w:sz w:val="28"/>
          <w:szCs w:val="28"/>
        </w:rPr>
        <w:t>硕士研究生</w:t>
      </w:r>
      <w:r>
        <w:rPr>
          <w:rFonts w:hint="eastAsia" w:ascii="仿宋" w:hAnsi="仿宋" w:eastAsia="仿宋" w:cs="仿宋"/>
          <w:b/>
          <w:bCs w:val="0"/>
          <w:i/>
          <w:iCs/>
          <w:sz w:val="28"/>
          <w:szCs w:val="28"/>
          <w:lang w:eastAsia="zh-CN"/>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硕士研究生国家奖学金评比综合考虑学位课成绩、科技论文发表和学生日常表现情况，具体分数计算办法</w:t>
      </w:r>
      <w:r>
        <w:rPr>
          <w:rFonts w:hint="eastAsia" w:ascii="仿宋" w:hAnsi="仿宋" w:eastAsia="仿宋" w:cs="仿宋"/>
          <w:b w:val="0"/>
          <w:bCs/>
          <w:sz w:val="28"/>
          <w:szCs w:val="28"/>
          <w:lang w:val="en-US" w:eastAsia="zh-CN"/>
        </w:rPr>
        <w:t>见附表1</w:t>
      </w:r>
      <w:r>
        <w:rPr>
          <w:rFonts w:hint="eastAsia" w:ascii="仿宋" w:hAnsi="仿宋" w:eastAsia="仿宋" w:cs="仿宋"/>
          <w:b w:val="0"/>
          <w:bCs/>
          <w:sz w:val="28"/>
          <w:szCs w:val="28"/>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w:t>
      </w:r>
      <w:r>
        <w:rPr>
          <w:rFonts w:hint="eastAsia" w:ascii="仿宋" w:hAnsi="仿宋" w:eastAsia="仿宋" w:cs="仿宋"/>
          <w:b w:val="0"/>
          <w:bCs/>
          <w:sz w:val="28"/>
          <w:szCs w:val="28"/>
          <w:lang w:val="en-US" w:eastAsia="zh-CN"/>
        </w:rPr>
        <w:t>一</w:t>
      </w:r>
      <w:r>
        <w:rPr>
          <w:rFonts w:hint="eastAsia" w:ascii="仿宋" w:hAnsi="仿宋" w:eastAsia="仿宋" w:cs="仿宋"/>
          <w:b w:val="0"/>
          <w:bCs/>
          <w:sz w:val="28"/>
          <w:szCs w:val="28"/>
        </w:rPr>
        <w:t>）测评总分计算办法</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测评总分=学位课成</w:t>
      </w:r>
      <w:r>
        <w:rPr>
          <w:rFonts w:hint="eastAsia" w:ascii="仿宋" w:hAnsi="仿宋" w:eastAsia="仿宋" w:cs="仿宋"/>
          <w:b w:val="0"/>
          <w:bCs/>
          <w:color w:val="auto"/>
          <w:sz w:val="28"/>
          <w:szCs w:val="28"/>
        </w:rPr>
        <w:t>绩平均分</w:t>
      </w:r>
      <w:r>
        <w:rPr>
          <w:rFonts w:hint="eastAsia" w:ascii="仿宋" w:hAnsi="仿宋" w:eastAsia="仿宋" w:cs="仿宋"/>
          <w:b w:val="0"/>
          <w:bCs/>
          <w:sz w:val="28"/>
          <w:szCs w:val="28"/>
        </w:rPr>
        <w:t>×20% + 科技论文分数×70%+日常表现分数×10%</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lang w:eastAsia="zh-CN"/>
        </w:rPr>
        <w:t>（</w:t>
      </w:r>
      <w:r>
        <w:rPr>
          <w:rFonts w:hint="eastAsia" w:ascii="仿宋" w:hAnsi="仿宋" w:eastAsia="仿宋" w:cs="仿宋"/>
          <w:b w:val="0"/>
          <w:bCs/>
          <w:sz w:val="28"/>
          <w:szCs w:val="28"/>
          <w:lang w:val="en-US" w:eastAsia="zh-CN"/>
        </w:rPr>
        <w:t>二</w:t>
      </w:r>
      <w:r>
        <w:rPr>
          <w:rFonts w:hint="eastAsia" w:ascii="仿宋" w:hAnsi="仿宋" w:eastAsia="仿宋" w:cs="仿宋"/>
          <w:b w:val="0"/>
          <w:bCs/>
          <w:sz w:val="28"/>
          <w:szCs w:val="28"/>
          <w:lang w:eastAsia="zh-CN"/>
        </w:rPr>
        <w:t>）</w:t>
      </w:r>
      <w:r>
        <w:rPr>
          <w:rFonts w:hint="eastAsia" w:ascii="仿宋" w:hAnsi="仿宋" w:eastAsia="仿宋" w:cs="仿宋"/>
          <w:b w:val="0"/>
          <w:bCs/>
          <w:sz w:val="28"/>
          <w:szCs w:val="28"/>
        </w:rPr>
        <w:t>研究生科研论文经评审专家委员会审核后，根据测评总分依次排序，由评审专家委员会确定最终结果。</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bCs w:val="0"/>
          <w:i/>
          <w:iCs/>
          <w:sz w:val="28"/>
          <w:szCs w:val="28"/>
          <w:lang w:eastAsia="zh-CN"/>
        </w:rPr>
      </w:pPr>
      <w:r>
        <w:rPr>
          <w:rFonts w:hint="eastAsia" w:ascii="仿宋" w:hAnsi="仿宋" w:eastAsia="仿宋" w:cs="仿宋"/>
          <w:b/>
          <w:bCs w:val="0"/>
          <w:i/>
          <w:iCs/>
          <w:sz w:val="28"/>
          <w:szCs w:val="28"/>
          <w:lang w:eastAsia="zh-CN"/>
        </w:rPr>
        <w:t>【</w:t>
      </w:r>
      <w:r>
        <w:rPr>
          <w:rFonts w:hint="eastAsia" w:ascii="仿宋" w:hAnsi="仿宋" w:eastAsia="仿宋" w:cs="仿宋"/>
          <w:b/>
          <w:bCs w:val="0"/>
          <w:i/>
          <w:iCs/>
          <w:sz w:val="28"/>
          <w:szCs w:val="28"/>
        </w:rPr>
        <w:t>博士研究生</w:t>
      </w:r>
      <w:r>
        <w:rPr>
          <w:rFonts w:hint="eastAsia" w:ascii="仿宋" w:hAnsi="仿宋" w:eastAsia="仿宋" w:cs="仿宋"/>
          <w:b/>
          <w:bCs w:val="0"/>
          <w:i/>
          <w:iCs/>
          <w:sz w:val="28"/>
          <w:szCs w:val="28"/>
          <w:lang w:eastAsia="zh-CN"/>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default" w:ascii="仿宋" w:hAnsi="仿宋" w:eastAsia="仿宋" w:cs="仿宋"/>
          <w:b w:val="0"/>
          <w:bCs/>
          <w:sz w:val="28"/>
          <w:szCs w:val="28"/>
          <w:lang w:val="en-US"/>
        </w:rPr>
      </w:pPr>
      <w:r>
        <w:rPr>
          <w:rFonts w:hint="eastAsia" w:ascii="仿宋" w:hAnsi="仿宋" w:eastAsia="仿宋" w:cs="仿宋"/>
          <w:b w:val="0"/>
          <w:bCs/>
          <w:sz w:val="28"/>
          <w:szCs w:val="28"/>
        </w:rPr>
        <w:t>博士研究生国家奖学金评比主要依据科技论文发表情况，成绩单</w:t>
      </w:r>
      <w:r>
        <w:rPr>
          <w:rFonts w:hint="eastAsia" w:ascii="仿宋" w:hAnsi="仿宋" w:eastAsia="仿宋" w:cs="仿宋"/>
          <w:b w:val="0"/>
          <w:bCs/>
          <w:sz w:val="28"/>
          <w:szCs w:val="28"/>
          <w:lang w:eastAsia="zh-CN"/>
        </w:rPr>
        <w:t>、</w:t>
      </w:r>
      <w:r>
        <w:rPr>
          <w:rFonts w:hint="eastAsia" w:ascii="仿宋" w:hAnsi="仿宋" w:eastAsia="仿宋" w:cs="仿宋"/>
          <w:b w:val="0"/>
          <w:bCs/>
          <w:sz w:val="28"/>
          <w:szCs w:val="28"/>
          <w:lang w:val="en-US" w:eastAsia="zh-CN"/>
        </w:rPr>
        <w:t>参加会议及</w:t>
      </w:r>
      <w:r>
        <w:rPr>
          <w:rFonts w:hint="eastAsia" w:ascii="仿宋" w:hAnsi="仿宋" w:eastAsia="仿宋" w:cs="仿宋"/>
          <w:b w:val="0"/>
          <w:bCs/>
          <w:sz w:val="28"/>
          <w:szCs w:val="28"/>
        </w:rPr>
        <w:t>日常表现</w:t>
      </w:r>
      <w:r>
        <w:rPr>
          <w:rFonts w:hint="eastAsia" w:ascii="仿宋" w:hAnsi="仿宋" w:eastAsia="仿宋" w:cs="仿宋"/>
          <w:b w:val="0"/>
          <w:bCs/>
          <w:sz w:val="28"/>
          <w:szCs w:val="28"/>
          <w:lang w:val="en-US" w:eastAsia="zh-CN"/>
        </w:rPr>
        <w:t>等</w:t>
      </w:r>
      <w:r>
        <w:rPr>
          <w:rFonts w:hint="eastAsia" w:ascii="仿宋" w:hAnsi="仿宋" w:eastAsia="仿宋" w:cs="仿宋"/>
          <w:b w:val="0"/>
          <w:bCs/>
          <w:sz w:val="28"/>
          <w:szCs w:val="28"/>
        </w:rPr>
        <w:t>提交</w:t>
      </w:r>
      <w:r>
        <w:rPr>
          <w:rFonts w:hint="eastAsia" w:ascii="仿宋" w:hAnsi="仿宋" w:eastAsia="仿宋" w:cs="仿宋"/>
          <w:b w:val="0"/>
          <w:bCs/>
          <w:sz w:val="28"/>
          <w:szCs w:val="28"/>
          <w:lang w:val="en-US" w:eastAsia="zh-CN"/>
        </w:rPr>
        <w:t>证明</w:t>
      </w:r>
      <w:r>
        <w:rPr>
          <w:rFonts w:hint="eastAsia" w:ascii="仿宋" w:hAnsi="仿宋" w:eastAsia="仿宋" w:cs="仿宋"/>
          <w:b w:val="0"/>
          <w:bCs/>
          <w:sz w:val="28"/>
          <w:szCs w:val="28"/>
        </w:rPr>
        <w:t>作为参考，具体分数计算办法</w:t>
      </w:r>
      <w:r>
        <w:rPr>
          <w:rFonts w:hint="eastAsia" w:ascii="仿宋" w:hAnsi="仿宋" w:eastAsia="仿宋" w:cs="仿宋"/>
          <w:b w:val="0"/>
          <w:bCs/>
          <w:sz w:val="28"/>
          <w:szCs w:val="28"/>
          <w:lang w:val="en-US" w:eastAsia="zh-CN"/>
        </w:rPr>
        <w:t>见附表2。</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rPr>
        <w:t>研究生科研论文经评审专家委员会最终确认后，根据测评总分依次排序，</w:t>
      </w:r>
      <w:r>
        <w:rPr>
          <w:rFonts w:hint="eastAsia" w:ascii="仿宋" w:hAnsi="仿宋" w:eastAsia="仿宋" w:cs="仿宋"/>
          <w:b w:val="0"/>
          <w:bCs/>
          <w:sz w:val="28"/>
          <w:szCs w:val="28"/>
          <w:highlight w:val="none"/>
        </w:rPr>
        <w:t>由评审专家委员会确定结果。</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center"/>
        <w:textAlignment w:val="auto"/>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第五章  评审程序及要求</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第十二条  凡符合上述第四条基本申请条件和第五条具体条件的学生，均可向本学院提出书面申请。</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highlight w:val="none"/>
          <w:lang w:val="en-US" w:eastAsia="zh-CN"/>
        </w:rPr>
      </w:pPr>
      <w:r>
        <w:rPr>
          <w:rFonts w:hint="eastAsia" w:ascii="仿宋" w:hAnsi="仿宋" w:eastAsia="仿宋" w:cs="仿宋"/>
          <w:b w:val="0"/>
          <w:bCs/>
          <w:sz w:val="28"/>
          <w:szCs w:val="28"/>
          <w:lang w:val="en-US" w:eastAsia="zh-CN"/>
        </w:rPr>
        <w:t>第十三条  评审程序</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（一）研究生本人自愿提出申请：</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博士生填写研究生国家奖学金申请审批表、获奖研究生科研成果汇总表、博士研究生国家奖学金学院汇总表，硕士生填写研究生国家奖学金申请审批表、获奖研究生科研成果汇总表、硕士研究生国家奖学金学院汇总表。</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二）符合申请条件的研究生在规定时间内提交要参评的所有材料。所需材料包括：《研究生国家奖学金申请审批表》（纸质）；获奖研究生科研成果汇总表（电子）；博士或硕士研究生国家奖学金学院汇总表（电子）；课程学习成绩单；学术论文、专利等科研成果有关证明材料；发表论文的有效检索证明[材料缺损不接收，其中论文只需提供本人为第一作者且所属单位为中国地质大学（北京）的即可，其他无需提供]。</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（三）地学院学工组对申请材料进行初审。</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（四）地学院研究生国家奖学金评审委员会根据学校下达的指标，对申请者进行评选，经集体充分讨论后确定拟推荐名单，学院初评结果将在地学院网站上公示5个工作日。</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sz w:val="28"/>
          <w:szCs w:val="28"/>
          <w:highlight w:val="none"/>
          <w:lang w:val="en-US" w:eastAsia="zh-CN"/>
        </w:rPr>
        <w:t>（五）如在公示中无异议，学院将拟推荐名单报送至</w:t>
      </w:r>
      <w:r>
        <w:rPr>
          <w:rFonts w:hint="eastAsia" w:ascii="仿宋" w:hAnsi="仿宋" w:eastAsia="仿宋" w:cs="仿宋"/>
          <w:b w:val="0"/>
          <w:bCs/>
          <w:color w:val="auto"/>
          <w:sz w:val="28"/>
          <w:szCs w:val="28"/>
          <w:highlight w:val="none"/>
          <w:lang w:val="en-US" w:eastAsia="zh-CN"/>
        </w:rPr>
        <w:t>党委学生工作部（处）。</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第十四条  对研究生国家奖学金评审结果有异议的学生，可在学院公示阶段向地学院</w:t>
      </w:r>
      <w:r>
        <w:rPr>
          <w:rFonts w:hint="eastAsia" w:ascii="仿宋" w:hAnsi="仿宋" w:eastAsia="仿宋" w:cs="仿宋"/>
          <w:b w:val="0"/>
          <w:bCs/>
          <w:sz w:val="28"/>
          <w:szCs w:val="28"/>
          <w:lang w:val="en-US" w:eastAsia="zh-CN"/>
        </w:rPr>
        <w:t>研究生国家奖学金评审委员会</w:t>
      </w:r>
      <w:r>
        <w:rPr>
          <w:rFonts w:hint="eastAsia" w:ascii="仿宋" w:hAnsi="仿宋" w:eastAsia="仿宋" w:cs="仿宋"/>
          <w:b w:val="0"/>
          <w:bCs/>
          <w:sz w:val="28"/>
          <w:szCs w:val="28"/>
          <w:highlight w:val="none"/>
          <w:lang w:val="en-US" w:eastAsia="zh-CN"/>
        </w:rPr>
        <w:t>提出书面申诉，接受申诉后，评审委员会应及时研究并予以答复。如学生对学院作出的答复仍存在异议，可在学校公示阶段向学校国家奖助学金评审工作领导小组提请裁决。</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sz w:val="28"/>
          <w:lang w:val="en-US" w:eastAsia="zh-CN"/>
        </w:rPr>
      </w:pPr>
      <w:r>
        <w:rPr>
          <w:rFonts w:hint="eastAsia" w:ascii="仿宋" w:hAnsi="仿宋" w:eastAsia="仿宋" w:cs="仿宋"/>
          <w:sz w:val="28"/>
          <w:lang w:val="en-US" w:eastAsia="zh-CN"/>
        </w:rPr>
        <w:t>第十五条  本细则</w:t>
      </w:r>
      <w:r>
        <w:rPr>
          <w:rFonts w:hint="eastAsia" w:ascii="仿宋" w:hAnsi="仿宋" w:eastAsia="仿宋" w:cs="仿宋"/>
          <w:sz w:val="28"/>
          <w:highlight w:val="none"/>
          <w:lang w:val="en-US" w:eastAsia="zh-CN"/>
        </w:rPr>
        <w:t>于2022年3月1日</w:t>
      </w:r>
      <w:r>
        <w:rPr>
          <w:rFonts w:hint="eastAsia" w:ascii="仿宋" w:hAnsi="仿宋" w:eastAsia="仿宋" w:cs="仿宋"/>
          <w:sz w:val="28"/>
          <w:lang w:val="en-US" w:eastAsia="zh-CN"/>
        </w:rPr>
        <w:t>经地球科学与资源学院研究生</w:t>
      </w:r>
      <w:r>
        <w:rPr>
          <w:rFonts w:hint="eastAsia" w:ascii="仿宋" w:hAnsi="仿宋" w:eastAsia="仿宋" w:cs="仿宋"/>
          <w:b w:val="0"/>
          <w:bCs/>
          <w:sz w:val="28"/>
          <w:szCs w:val="28"/>
          <w:lang w:val="en-US" w:eastAsia="zh-CN"/>
        </w:rPr>
        <w:t>国家奖学金</w:t>
      </w:r>
      <w:r>
        <w:rPr>
          <w:rFonts w:hint="eastAsia" w:ascii="仿宋" w:hAnsi="仿宋" w:eastAsia="仿宋" w:cs="仿宋"/>
          <w:sz w:val="28"/>
          <w:lang w:val="en-US" w:eastAsia="zh-CN"/>
        </w:rPr>
        <w:t>评审委员会审议通过，由评审委员会负责解释。</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jc w:val="right"/>
        <w:textAlignment w:val="auto"/>
        <w:rPr>
          <w:rFonts w:hint="eastAsia" w:ascii="仿宋" w:hAnsi="仿宋" w:eastAsia="仿宋" w:cs="仿宋"/>
          <w:sz w:val="28"/>
        </w:rPr>
      </w:pPr>
      <w:r>
        <w:rPr>
          <w:rFonts w:hint="eastAsia" w:ascii="仿宋" w:hAnsi="仿宋" w:eastAsia="仿宋" w:cs="仿宋"/>
          <w:sz w:val="28"/>
        </w:rPr>
        <w:t>中国地质大学（北京）地球科学与资源学院</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center"/>
        <w:textAlignment w:val="auto"/>
        <w:rPr>
          <w:rFonts w:hint="eastAsia" w:ascii="仿宋" w:hAnsi="仿宋" w:eastAsia="仿宋" w:cs="仿宋"/>
          <w:sz w:val="28"/>
          <w:lang w:val="en-US" w:eastAsia="zh-CN"/>
        </w:rPr>
      </w:pPr>
      <w:r>
        <w:rPr>
          <w:rFonts w:hint="eastAsia" w:ascii="仿宋" w:hAnsi="仿宋" w:eastAsia="仿宋" w:cs="仿宋"/>
          <w:sz w:val="28"/>
          <w:lang w:val="en-US" w:eastAsia="zh-CN"/>
        </w:rPr>
        <w:t xml:space="preserve">                   研究生国家奖学金评审委员会   </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center"/>
        <w:textAlignment w:val="auto"/>
        <w:rPr>
          <w:rFonts w:hint="default" w:ascii="仿宋" w:hAnsi="仿宋" w:eastAsia="仿宋" w:cs="仿宋"/>
          <w:sz w:val="28"/>
          <w:lang w:val="en-US" w:eastAsia="zh-CN"/>
        </w:rPr>
      </w:pPr>
      <w:r>
        <w:rPr>
          <w:rFonts w:hint="eastAsia" w:ascii="仿宋" w:hAnsi="仿宋" w:eastAsia="仿宋" w:cs="仿宋"/>
          <w:sz w:val="28"/>
          <w:lang w:val="en-US" w:eastAsia="zh-CN"/>
        </w:rPr>
        <w:t xml:space="preserve">                   </w:t>
      </w:r>
      <w:r>
        <w:rPr>
          <w:rFonts w:hint="eastAsia" w:ascii="仿宋" w:hAnsi="仿宋" w:eastAsia="仿宋" w:cs="仿宋"/>
          <w:sz w:val="28"/>
          <w:highlight w:val="none"/>
          <w:lang w:val="en-US" w:eastAsia="zh-CN"/>
        </w:rPr>
        <w:t xml:space="preserve"> </w:t>
      </w:r>
      <w:r>
        <w:rPr>
          <w:rFonts w:hint="eastAsia" w:ascii="仿宋" w:hAnsi="仿宋" w:eastAsia="仿宋" w:cs="仿宋"/>
          <w:sz w:val="28"/>
          <w:highlight w:val="none"/>
        </w:rPr>
        <w:t>20</w:t>
      </w:r>
      <w:r>
        <w:rPr>
          <w:rFonts w:hint="eastAsia" w:ascii="仿宋" w:hAnsi="仿宋" w:eastAsia="仿宋" w:cs="仿宋"/>
          <w:sz w:val="28"/>
          <w:highlight w:val="none"/>
          <w:lang w:val="en-US" w:eastAsia="zh-CN"/>
        </w:rPr>
        <w:t>22</w:t>
      </w:r>
      <w:r>
        <w:rPr>
          <w:rFonts w:hint="eastAsia" w:ascii="仿宋" w:hAnsi="仿宋" w:eastAsia="仿宋" w:cs="仿宋"/>
          <w:sz w:val="28"/>
          <w:highlight w:val="none"/>
        </w:rPr>
        <w:t>年</w:t>
      </w:r>
      <w:r>
        <w:rPr>
          <w:rFonts w:hint="eastAsia" w:ascii="仿宋" w:hAnsi="仿宋" w:eastAsia="仿宋" w:cs="仿宋"/>
          <w:sz w:val="28"/>
          <w:highlight w:val="none"/>
          <w:lang w:val="en-US" w:eastAsia="zh-CN"/>
        </w:rPr>
        <w:t>3</w:t>
      </w:r>
      <w:r>
        <w:rPr>
          <w:rFonts w:hint="eastAsia" w:ascii="仿宋" w:hAnsi="仿宋" w:eastAsia="仿宋" w:cs="仿宋"/>
          <w:sz w:val="28"/>
          <w:highlight w:val="none"/>
        </w:rPr>
        <w:t>月</w:t>
      </w:r>
      <w:r>
        <w:rPr>
          <w:rFonts w:hint="eastAsia" w:ascii="仿宋" w:hAnsi="仿宋" w:eastAsia="仿宋" w:cs="仿宋"/>
          <w:sz w:val="28"/>
          <w:highlight w:val="none"/>
          <w:lang w:val="en-US" w:eastAsia="zh-CN"/>
        </w:rPr>
        <w:t>23</w:t>
      </w:r>
      <w:r>
        <w:rPr>
          <w:rFonts w:hint="eastAsia" w:ascii="仿宋" w:hAnsi="仿宋" w:eastAsia="仿宋" w:cs="仿宋"/>
          <w:sz w:val="28"/>
          <w:highlight w:val="none"/>
        </w:rPr>
        <w:t>日</w:t>
      </w:r>
      <w:r>
        <w:rPr>
          <w:rFonts w:hint="eastAsia" w:ascii="仿宋" w:hAnsi="仿宋" w:eastAsia="仿宋" w:cs="仿宋"/>
          <w:sz w:val="28"/>
          <w:highlight w:val="none"/>
          <w:lang w:val="en-US" w:eastAsia="zh-CN"/>
        </w:rPr>
        <w:t xml:space="preserve"> </w:t>
      </w:r>
      <w:r>
        <w:rPr>
          <w:rFonts w:hint="eastAsia" w:ascii="仿宋" w:hAnsi="仿宋" w:eastAsia="仿宋" w:cs="仿宋"/>
          <w:sz w:val="28"/>
          <w:lang w:val="en-US" w:eastAsia="zh-CN"/>
        </w:rPr>
        <w:t xml:space="preserve">                   </w:t>
      </w:r>
    </w:p>
    <w:p>
      <w:pPr>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jc w:val="both"/>
        <w:textAlignment w:val="auto"/>
        <w:rPr>
          <w:rFonts w:hint="eastAsia" w:ascii="仿宋" w:hAnsi="仿宋" w:eastAsia="仿宋" w:cs="仿宋"/>
          <w:b/>
          <w:bCs w:val="0"/>
          <w:i w:val="0"/>
          <w:iCs w:val="0"/>
          <w:sz w:val="24"/>
          <w:szCs w:val="24"/>
          <w:lang w:eastAsia="zh-CN"/>
        </w:rPr>
      </w:pPr>
      <w:r>
        <w:rPr>
          <w:rFonts w:hint="eastAsia" w:ascii="仿宋" w:hAnsi="仿宋" w:eastAsia="仿宋" w:cs="仿宋"/>
          <w:b/>
          <w:bCs w:val="0"/>
          <w:sz w:val="24"/>
          <w:szCs w:val="24"/>
          <w:highlight w:val="none"/>
          <w:lang w:val="en-US" w:eastAsia="zh-CN"/>
        </w:rPr>
        <w:t>附表1</w:t>
      </w:r>
      <w:r>
        <w:rPr>
          <w:rFonts w:hint="eastAsia" w:ascii="仿宋" w:hAnsi="仿宋" w:eastAsia="仿宋" w:cs="仿宋"/>
          <w:b/>
          <w:bCs w:val="0"/>
          <w:i w:val="0"/>
          <w:iCs w:val="0"/>
          <w:sz w:val="24"/>
          <w:szCs w:val="24"/>
          <w:highlight w:val="none"/>
          <w:lang w:val="en-US" w:eastAsia="zh-CN"/>
        </w:rPr>
        <w:t>（</w:t>
      </w:r>
      <w:r>
        <w:rPr>
          <w:rFonts w:hint="eastAsia" w:ascii="仿宋" w:hAnsi="仿宋" w:eastAsia="仿宋" w:cs="仿宋"/>
          <w:b/>
          <w:bCs w:val="0"/>
          <w:i w:val="0"/>
          <w:iCs w:val="0"/>
          <w:sz w:val="24"/>
          <w:szCs w:val="24"/>
        </w:rPr>
        <w:t>硕士研究生</w:t>
      </w:r>
      <w:r>
        <w:rPr>
          <w:rFonts w:hint="eastAsia" w:ascii="仿宋" w:hAnsi="仿宋" w:eastAsia="仿宋" w:cs="仿宋"/>
          <w:b/>
          <w:bCs w:val="0"/>
          <w:i w:val="0"/>
          <w:iCs w:val="0"/>
          <w:sz w:val="24"/>
          <w:szCs w:val="24"/>
          <w:lang w:eastAsia="zh-CN"/>
        </w:rPr>
        <w:t>）：</w:t>
      </w:r>
    </w:p>
    <w:tbl>
      <w:tblPr>
        <w:tblStyle w:val="7"/>
        <w:tblW w:w="5396" w:type="pct"/>
        <w:jc w:val="center"/>
        <w:tblLayout w:type="autofit"/>
        <w:tblCellMar>
          <w:top w:w="0" w:type="dxa"/>
          <w:left w:w="0" w:type="dxa"/>
          <w:bottom w:w="0" w:type="dxa"/>
          <w:right w:w="0" w:type="dxa"/>
        </w:tblCellMar>
      </w:tblPr>
      <w:tblGrid>
        <w:gridCol w:w="759"/>
        <w:gridCol w:w="577"/>
        <w:gridCol w:w="1669"/>
        <w:gridCol w:w="5384"/>
        <w:gridCol w:w="601"/>
      </w:tblGrid>
      <w:tr>
        <w:tblPrEx>
          <w:tblCellMar>
            <w:top w:w="0" w:type="dxa"/>
            <w:left w:w="0" w:type="dxa"/>
            <w:bottom w:w="0" w:type="dxa"/>
            <w:right w:w="0" w:type="dxa"/>
          </w:tblCellMar>
        </w:tblPrEx>
        <w:trPr>
          <w:trHeight w:val="256" w:hRule="atLeast"/>
          <w:jc w:val="center"/>
        </w:trPr>
        <w:tc>
          <w:tcPr>
            <w:tcW w:w="743" w:type="pct"/>
            <w:gridSpan w:val="2"/>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成果分类</w:t>
            </w:r>
          </w:p>
        </w:tc>
        <w:tc>
          <w:tcPr>
            <w:tcW w:w="3922" w:type="pct"/>
            <w:gridSpan w:val="2"/>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项目</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分值</w:t>
            </w:r>
          </w:p>
        </w:tc>
      </w:tr>
      <w:tr>
        <w:tblPrEx>
          <w:tblCellMar>
            <w:top w:w="0" w:type="dxa"/>
            <w:left w:w="0" w:type="dxa"/>
            <w:bottom w:w="0" w:type="dxa"/>
            <w:right w:w="0" w:type="dxa"/>
          </w:tblCellMar>
        </w:tblPrEx>
        <w:trPr>
          <w:trHeight w:val="256" w:hRule="atLeast"/>
          <w:jc w:val="center"/>
        </w:trPr>
        <w:tc>
          <w:tcPr>
            <w:tcW w:w="422" w:type="pct"/>
            <w:tcBorders>
              <w:top w:val="single" w:color="auto"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b w:val="0"/>
                <w:bCs/>
                <w:color w:val="auto"/>
                <w:sz w:val="21"/>
                <w:szCs w:val="21"/>
                <w:u w:val="none"/>
              </w:rPr>
            </w:pPr>
            <w:r>
              <w:rPr>
                <w:rFonts w:hint="eastAsia" w:ascii="仿宋" w:hAnsi="仿宋" w:eastAsia="仿宋" w:cs="仿宋"/>
                <w:b w:val="0"/>
                <w:bCs/>
                <w:sz w:val="21"/>
                <w:szCs w:val="21"/>
              </w:rPr>
              <w:t>学位课成绩</w:t>
            </w:r>
            <w:r>
              <w:rPr>
                <w:rFonts w:hint="eastAsia" w:ascii="仿宋" w:hAnsi="仿宋" w:eastAsia="仿宋" w:cs="仿宋"/>
                <w:b w:val="0"/>
                <w:bCs/>
                <w:sz w:val="21"/>
                <w:szCs w:val="21"/>
                <w:lang w:eastAsia="zh-CN"/>
              </w:rPr>
              <w:t>（</w:t>
            </w:r>
            <w:r>
              <w:rPr>
                <w:rFonts w:hint="eastAsia" w:ascii="仿宋" w:hAnsi="仿宋" w:eastAsia="仿宋" w:cs="仿宋"/>
                <w:b w:val="0"/>
                <w:bCs/>
                <w:sz w:val="21"/>
                <w:szCs w:val="21"/>
                <w:lang w:val="en-US" w:eastAsia="zh-CN"/>
              </w:rPr>
              <w:t>20%）</w:t>
            </w:r>
          </w:p>
        </w:tc>
        <w:tc>
          <w:tcPr>
            <w:tcW w:w="320" w:type="pct"/>
            <w:tcBorders>
              <w:top w:val="single" w:color="auto"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公共</w:t>
            </w:r>
          </w:p>
          <w:p>
            <w:pPr>
              <w:widowControl/>
              <w:tabs>
                <w:tab w:val="left" w:pos="0"/>
              </w:tabs>
              <w:adjustRightInd w:val="0"/>
              <w:snapToGrid w:val="0"/>
              <w:spacing w:line="276" w:lineRule="auto"/>
              <w:jc w:val="center"/>
              <w:textAlignment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学位课、专业学位课</w:t>
            </w:r>
          </w:p>
        </w:tc>
        <w:tc>
          <w:tcPr>
            <w:tcW w:w="3922" w:type="pct"/>
            <w:gridSpan w:val="2"/>
            <w:tcBorders>
              <w:top w:val="single" w:color="auto" w:sz="4" w:space="0"/>
              <w:left w:val="single" w:color="000000" w:sz="4" w:space="0"/>
              <w:bottom w:val="single" w:color="auto" w:sz="4" w:space="0"/>
              <w:right w:val="single" w:color="auto" w:sz="4" w:space="0"/>
            </w:tcBorders>
            <w:shd w:val="clear" w:color="auto" w:fill="auto"/>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color w:val="000000"/>
                <w:sz w:val="21"/>
                <w:szCs w:val="21"/>
                <w:highlight w:val="none"/>
              </w:rPr>
            </w:pPr>
            <w:r>
              <w:rPr>
                <w:rFonts w:hint="eastAsia" w:ascii="仿宋" w:hAnsi="仿宋" w:eastAsia="仿宋" w:cs="仿宋"/>
                <w:b w:val="0"/>
                <w:bCs/>
                <w:color w:val="auto"/>
                <w:sz w:val="21"/>
                <w:szCs w:val="21"/>
                <w:highlight w:val="none"/>
                <w:u w:val="none"/>
              </w:rPr>
              <w:t>截止</w:t>
            </w:r>
            <w:r>
              <w:rPr>
                <w:rFonts w:hint="eastAsia" w:ascii="仿宋" w:hAnsi="仿宋" w:eastAsia="仿宋" w:cs="仿宋"/>
                <w:b w:val="0"/>
                <w:bCs/>
                <w:color w:val="auto"/>
                <w:sz w:val="21"/>
                <w:szCs w:val="21"/>
                <w:highlight w:val="none"/>
                <w:u w:val="none"/>
                <w:lang w:val="en-US" w:eastAsia="zh-CN"/>
              </w:rPr>
              <w:t>当年申报研究生国家奖学金之日</w:t>
            </w:r>
            <w:r>
              <w:rPr>
                <w:rFonts w:hint="eastAsia" w:ascii="仿宋" w:hAnsi="仿宋" w:eastAsia="仿宋" w:cs="仿宋"/>
                <w:b w:val="0"/>
                <w:bCs/>
                <w:color w:val="auto"/>
                <w:sz w:val="21"/>
                <w:szCs w:val="21"/>
                <w:highlight w:val="none"/>
                <w:u w:val="none"/>
              </w:rPr>
              <w:t>所</w:t>
            </w:r>
            <w:r>
              <w:rPr>
                <w:rFonts w:hint="eastAsia" w:ascii="仿宋" w:hAnsi="仿宋" w:eastAsia="仿宋" w:cs="仿宋"/>
                <w:b w:val="0"/>
                <w:bCs/>
                <w:sz w:val="21"/>
                <w:szCs w:val="21"/>
                <w:highlight w:val="none"/>
                <w:u w:val="none"/>
              </w:rPr>
              <w:t>获得</w:t>
            </w:r>
            <w:r>
              <w:rPr>
                <w:rFonts w:hint="eastAsia" w:ascii="仿宋" w:hAnsi="仿宋" w:eastAsia="仿宋" w:cs="仿宋"/>
                <w:b w:val="0"/>
                <w:bCs/>
                <w:i w:val="0"/>
                <w:iCs w:val="0"/>
                <w:sz w:val="21"/>
                <w:szCs w:val="21"/>
                <w:highlight w:val="none"/>
                <w:u w:val="none"/>
                <w:lang w:val="en-US" w:eastAsia="zh-CN"/>
              </w:rPr>
              <w:t>公共学位课、专业学位课</w:t>
            </w:r>
            <w:r>
              <w:rPr>
                <w:rFonts w:hint="eastAsia" w:ascii="仿宋" w:hAnsi="仿宋" w:eastAsia="仿宋" w:cs="仿宋"/>
                <w:b w:val="0"/>
                <w:bCs/>
                <w:sz w:val="21"/>
                <w:szCs w:val="21"/>
                <w:highlight w:val="none"/>
                <w:u w:val="none"/>
              </w:rPr>
              <w:t>成绩</w:t>
            </w:r>
            <w:r>
              <w:rPr>
                <w:rFonts w:hint="eastAsia" w:ascii="仿宋" w:hAnsi="仿宋" w:eastAsia="仿宋" w:cs="仿宋"/>
                <w:b w:val="0"/>
                <w:bCs/>
                <w:sz w:val="21"/>
                <w:szCs w:val="21"/>
                <w:highlight w:val="none"/>
                <w:u w:val="none"/>
                <w:lang w:val="en-US" w:eastAsia="zh-CN"/>
              </w:rPr>
              <w:t>的加权平均分</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p>
        </w:tc>
      </w:tr>
      <w:tr>
        <w:tblPrEx>
          <w:tblCellMar>
            <w:top w:w="0" w:type="dxa"/>
            <w:left w:w="0" w:type="dxa"/>
            <w:bottom w:w="0" w:type="dxa"/>
            <w:right w:w="0" w:type="dxa"/>
          </w:tblCellMar>
        </w:tblPrEx>
        <w:trPr>
          <w:trHeight w:val="256" w:hRule="atLeast"/>
          <w:jc w:val="center"/>
        </w:trPr>
        <w:tc>
          <w:tcPr>
            <w:tcW w:w="422"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p>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学术</w:t>
            </w:r>
          </w:p>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成果</w:t>
            </w:r>
          </w:p>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（70%）</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jc w:val="both"/>
              <w:textAlignment w:val="auto"/>
              <w:rPr>
                <w:rFonts w:hint="eastAsia" w:ascii="仿宋" w:hAnsi="仿宋" w:eastAsia="仿宋" w:cs="仿宋"/>
                <w:kern w:val="0"/>
                <w:sz w:val="21"/>
                <w:szCs w:val="21"/>
                <w:lang w:val="en-US" w:eastAsia="zh-CN"/>
              </w:rPr>
            </w:pPr>
          </w:p>
        </w:tc>
        <w:tc>
          <w:tcPr>
            <w:tcW w:w="320"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学术</w:t>
            </w:r>
          </w:p>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论文和</w:t>
            </w:r>
          </w:p>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kern w:val="0"/>
                <w:sz w:val="21"/>
                <w:szCs w:val="21"/>
              </w:rPr>
              <w:t>专著</w:t>
            </w:r>
            <w:r>
              <w:rPr>
                <w:rFonts w:hint="eastAsia" w:ascii="仿宋" w:hAnsi="仿宋" w:eastAsia="仿宋" w:cs="仿宋"/>
                <w:kern w:val="0"/>
                <w:sz w:val="21"/>
                <w:szCs w:val="21"/>
                <w:lang w:val="en-US" w:eastAsia="zh-CN"/>
              </w:rPr>
              <w:t>等</w:t>
            </w:r>
          </w:p>
        </w:tc>
        <w:tc>
          <w:tcPr>
            <w:tcW w:w="928" w:type="pct"/>
            <w:vMerge w:val="restart"/>
            <w:tcBorders>
              <w:top w:val="single" w:color="auto"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标志性期刊论文</w:t>
            </w:r>
          </w:p>
        </w:tc>
        <w:tc>
          <w:tcPr>
            <w:tcW w:w="2994" w:type="pct"/>
            <w:tcBorders>
              <w:top w:val="single" w:color="auto"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rPr>
            </w:pPr>
            <w:r>
              <w:rPr>
                <w:rFonts w:hint="eastAsia" w:ascii="仿宋" w:hAnsi="仿宋" w:eastAsia="仿宋" w:cs="仿宋"/>
                <w:color w:val="000000"/>
                <w:sz w:val="21"/>
                <w:szCs w:val="21"/>
              </w:rPr>
              <w:t>标志性期刊目录A区论文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lang w:val="en-US" w:eastAsia="zh-CN"/>
              </w:rPr>
            </w:pPr>
            <w:r>
              <w:rPr>
                <w:rFonts w:hint="eastAsia" w:ascii="仿宋" w:hAnsi="仿宋" w:eastAsia="仿宋" w:cs="仿宋"/>
                <w:color w:val="000000"/>
                <w:sz w:val="21"/>
                <w:szCs w:val="21"/>
              </w:rPr>
              <w:t>标志性期刊目录B区论文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学院榜刊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rPr>
            </w:pPr>
            <w:r>
              <w:rPr>
                <w:rFonts w:hint="eastAsia" w:ascii="仿宋" w:hAnsi="仿宋" w:eastAsia="仿宋" w:cs="仿宋"/>
                <w:color w:val="000000"/>
                <w:sz w:val="21"/>
                <w:szCs w:val="21"/>
              </w:rPr>
              <w:t>标志性期刊目录C区论文（Q1）</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rPr>
            </w:pPr>
            <w:r>
              <w:rPr>
                <w:rFonts w:hint="eastAsia" w:ascii="仿宋" w:hAnsi="仿宋" w:eastAsia="仿宋" w:cs="仿宋"/>
                <w:color w:val="000000"/>
                <w:sz w:val="21"/>
                <w:szCs w:val="21"/>
              </w:rPr>
              <w:t>标志性期刊目录D区论文（Q2）</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rPr>
              <w:t>3</w:t>
            </w:r>
            <w:r>
              <w:rPr>
                <w:rFonts w:hint="eastAsia" w:ascii="仿宋" w:hAnsi="仿宋" w:eastAsia="仿宋" w:cs="仿宋"/>
                <w:kern w:val="0"/>
                <w:sz w:val="21"/>
                <w:szCs w:val="21"/>
              </w:rPr>
              <w:t>5</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其他期刊论文</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在除上述之外的其他期刊上发表的SCI/SSCI学术成果</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20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中文SCI</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15</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lang w:val="en-US" w:eastAsia="zh-CN"/>
              </w:rPr>
            </w:pPr>
            <w:r>
              <w:rPr>
                <w:rFonts w:hint="eastAsia" w:ascii="仿宋" w:hAnsi="仿宋" w:eastAsia="仿宋" w:cs="仿宋"/>
                <w:kern w:val="0"/>
                <w:sz w:val="21"/>
                <w:szCs w:val="21"/>
              </w:rPr>
              <w:t>中文卓越期刊目录论文</w:t>
            </w:r>
            <w:r>
              <w:rPr>
                <w:rFonts w:hint="eastAsia" w:ascii="仿宋" w:hAnsi="仿宋" w:eastAsia="仿宋" w:cs="仿宋"/>
                <w:b w:val="0"/>
                <w:bCs/>
                <w:sz w:val="21"/>
                <w:szCs w:val="21"/>
                <w:lang w:val="en-US" w:eastAsia="zh-CN"/>
              </w:rPr>
              <w:t>/</w:t>
            </w:r>
            <w:r>
              <w:rPr>
                <w:rFonts w:hint="eastAsia" w:ascii="仿宋" w:hAnsi="仿宋" w:eastAsia="仿宋" w:cs="仿宋"/>
                <w:b w:val="0"/>
                <w:bCs/>
                <w:sz w:val="21"/>
                <w:szCs w:val="21"/>
              </w:rPr>
              <w:t>EI、ISTP检索论文</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专著</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rPr>
            </w:pPr>
            <w:r>
              <w:rPr>
                <w:rFonts w:hint="eastAsia" w:ascii="仿宋" w:hAnsi="仿宋" w:eastAsia="仿宋" w:cs="仿宋"/>
                <w:kern w:val="0"/>
                <w:sz w:val="21"/>
                <w:szCs w:val="21"/>
              </w:rPr>
              <w:t>中、英文学术第一作者</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300</w:t>
            </w:r>
          </w:p>
        </w:tc>
      </w:tr>
      <w:tr>
        <w:tblPrEx>
          <w:tblCellMar>
            <w:top w:w="0" w:type="dxa"/>
            <w:left w:w="0" w:type="dxa"/>
            <w:bottom w:w="0" w:type="dxa"/>
            <w:right w:w="0" w:type="dxa"/>
          </w:tblCellMar>
        </w:tblPrEx>
        <w:trPr>
          <w:trHeight w:val="256"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rPr>
              <w:t>科技成果奖</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rPr>
              <w:t>省部级以上科技成果奖</w:t>
            </w: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国家级前十，省部级前五</w:t>
            </w:r>
            <w:r>
              <w:rPr>
                <w:rFonts w:hint="eastAsia" w:ascii="仿宋" w:hAnsi="仿宋" w:eastAsia="仿宋" w:cs="仿宋"/>
                <w:kern w:val="0"/>
                <w:sz w:val="21"/>
                <w:szCs w:val="21"/>
                <w:lang w:eastAsia="zh-CN"/>
              </w:rPr>
              <w:t>）</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100</w:t>
            </w:r>
          </w:p>
        </w:tc>
      </w:tr>
      <w:tr>
        <w:tblPrEx>
          <w:tblCellMar>
            <w:top w:w="0" w:type="dxa"/>
            <w:left w:w="0" w:type="dxa"/>
            <w:bottom w:w="0" w:type="dxa"/>
            <w:right w:w="0" w:type="dxa"/>
          </w:tblCellMar>
        </w:tblPrEx>
        <w:trPr>
          <w:trHeight w:val="439"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国家发明专利</w:t>
            </w:r>
          </w:p>
        </w:tc>
        <w:tc>
          <w:tcPr>
            <w:tcW w:w="299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已授权第一人</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35</w:t>
            </w:r>
          </w:p>
        </w:tc>
      </w:tr>
      <w:tr>
        <w:tblPrEx>
          <w:tblCellMar>
            <w:top w:w="0" w:type="dxa"/>
            <w:left w:w="0" w:type="dxa"/>
            <w:bottom w:w="0" w:type="dxa"/>
            <w:right w:w="0" w:type="dxa"/>
          </w:tblCellMar>
        </w:tblPrEx>
        <w:trPr>
          <w:trHeight w:val="439" w:hRule="atLeast"/>
          <w:jc w:val="center"/>
        </w:trPr>
        <w:tc>
          <w:tcPr>
            <w:tcW w:w="422"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320"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28"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实用新型</w:t>
            </w:r>
          </w:p>
          <w:p>
            <w:pPr>
              <w:widowControl/>
              <w:tabs>
                <w:tab w:val="left" w:pos="0"/>
              </w:tabs>
              <w:adjustRightInd w:val="0"/>
              <w:snapToGrid w:val="0"/>
              <w:spacing w:line="276" w:lineRule="auto"/>
              <w:jc w:val="center"/>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软件著作权</w:t>
            </w:r>
          </w:p>
        </w:tc>
        <w:tc>
          <w:tcPr>
            <w:tcW w:w="2994"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已授权第一人</w:t>
            </w:r>
          </w:p>
        </w:tc>
        <w:tc>
          <w:tcPr>
            <w:tcW w:w="334" w:type="pc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15</w:t>
            </w:r>
          </w:p>
        </w:tc>
      </w:tr>
      <w:tr>
        <w:tblPrEx>
          <w:tblCellMar>
            <w:top w:w="0" w:type="dxa"/>
            <w:left w:w="0" w:type="dxa"/>
            <w:bottom w:w="0" w:type="dxa"/>
            <w:right w:w="0" w:type="dxa"/>
          </w:tblCellMar>
        </w:tblPrEx>
        <w:trPr>
          <w:trHeight w:val="708" w:hRule="atLeast"/>
          <w:jc w:val="center"/>
        </w:trPr>
        <w:tc>
          <w:tcPr>
            <w:tcW w:w="422" w:type="pct"/>
            <w:vMerge w:val="restart"/>
            <w:tcBorders>
              <w:top w:val="single" w:color="auto" w:sz="4" w:space="0"/>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p>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p>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日常</w:t>
            </w:r>
          </w:p>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表现</w:t>
            </w:r>
          </w:p>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（10%）</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1"/>
                <w:szCs w:val="21"/>
                <w:lang w:val="en-US" w:eastAsia="zh-CN"/>
              </w:rPr>
              <w:t>学术报告</w:t>
            </w:r>
          </w:p>
        </w:tc>
        <w:tc>
          <w:tcPr>
            <w:tcW w:w="3922" w:type="pct"/>
            <w:gridSpan w:val="2"/>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default" w:ascii="仿宋" w:hAnsi="仿宋" w:eastAsia="仿宋" w:cs="仿宋"/>
                <w:color w:val="auto"/>
                <w:kern w:val="0"/>
                <w:sz w:val="21"/>
                <w:szCs w:val="21"/>
                <w:lang w:val="en-US" w:eastAsia="zh-CN"/>
              </w:rPr>
            </w:pPr>
            <w:r>
              <w:rPr>
                <w:rFonts w:hint="eastAsia" w:ascii="仿宋" w:hAnsi="仿宋" w:eastAsia="仿宋" w:cs="仿宋"/>
                <w:color w:val="auto"/>
                <w:kern w:val="0"/>
                <w:sz w:val="21"/>
                <w:szCs w:val="21"/>
              </w:rPr>
              <w:t>上一学年参加校级以上学术</w:t>
            </w:r>
            <w:r>
              <w:rPr>
                <w:rFonts w:hint="eastAsia" w:ascii="仿宋" w:hAnsi="仿宋" w:eastAsia="仿宋" w:cs="仿宋"/>
                <w:color w:val="auto"/>
                <w:kern w:val="0"/>
                <w:sz w:val="21"/>
                <w:szCs w:val="21"/>
                <w:lang w:val="en-US" w:eastAsia="zh-CN"/>
              </w:rPr>
              <w:t>会议并做口头报告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50</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auto"/>
                <w:kern w:val="0"/>
                <w:sz w:val="21"/>
                <w:szCs w:val="21"/>
                <w:lang w:val="en-US" w:eastAsia="zh-CN"/>
              </w:rPr>
            </w:pPr>
          </w:p>
        </w:tc>
        <w:tc>
          <w:tcPr>
            <w:tcW w:w="3922" w:type="pct"/>
            <w:gridSpan w:val="2"/>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rPr>
              <w:t>上一学年参加校级学术</w:t>
            </w:r>
            <w:r>
              <w:rPr>
                <w:rFonts w:hint="eastAsia" w:ascii="仿宋" w:hAnsi="仿宋" w:eastAsia="仿宋" w:cs="仿宋"/>
                <w:color w:val="auto"/>
                <w:kern w:val="0"/>
                <w:sz w:val="21"/>
                <w:szCs w:val="21"/>
                <w:lang w:val="en-US" w:eastAsia="zh-CN"/>
              </w:rPr>
              <w:t>会议并做口头报告</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25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jc w:val="left"/>
              <w:textAlignment w:val="auto"/>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文化</w:t>
            </w:r>
          </w:p>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科技</w:t>
            </w:r>
          </w:p>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奖励</w:t>
            </w:r>
          </w:p>
        </w:tc>
        <w:tc>
          <w:tcPr>
            <w:tcW w:w="3922" w:type="pct"/>
            <w:gridSpan w:val="2"/>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color w:val="000000" w:themeColor="text1"/>
                <w:kern w:val="0"/>
                <w:sz w:val="21"/>
                <w:szCs w:val="21"/>
                <w14:textFill>
                  <w14:solidFill>
                    <w14:schemeClr w14:val="tx1"/>
                  </w14:solidFill>
                </w14:textFill>
              </w:rPr>
            </w:pPr>
            <w:r>
              <w:rPr>
                <w:rFonts w:hint="eastAsia" w:ascii="仿宋" w:hAnsi="仿宋" w:eastAsia="仿宋" w:cs="仿宋"/>
                <w:b w:val="0"/>
                <w:bCs/>
                <w:color w:val="000000" w:themeColor="text1"/>
                <w:sz w:val="21"/>
                <w:szCs w:val="21"/>
                <w14:textFill>
                  <w14:solidFill>
                    <w14:schemeClr w14:val="tx1"/>
                  </w14:solidFill>
                </w14:textFill>
              </w:rPr>
              <w:t>上一学年获得北京市级（含）以上文化科技类奖励</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p>
        </w:tc>
        <w:tc>
          <w:tcPr>
            <w:tcW w:w="3922" w:type="pct"/>
            <w:gridSpan w:val="2"/>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color w:val="000000" w:themeColor="text1"/>
                <w:kern w:val="0"/>
                <w:sz w:val="21"/>
                <w:szCs w:val="21"/>
                <w:lang w:eastAsia="zh-CN"/>
                <w14:textFill>
                  <w14:solidFill>
                    <w14:schemeClr w14:val="tx1"/>
                  </w14:solidFill>
                </w14:textFill>
              </w:rPr>
            </w:pPr>
            <w:r>
              <w:rPr>
                <w:rFonts w:hint="eastAsia" w:ascii="仿宋" w:hAnsi="仿宋" w:eastAsia="仿宋" w:cs="仿宋"/>
                <w:b w:val="0"/>
                <w:bCs/>
                <w:color w:val="000000" w:themeColor="text1"/>
                <w:sz w:val="21"/>
                <w:szCs w:val="21"/>
                <w14:textFill>
                  <w14:solidFill>
                    <w14:schemeClr w14:val="tx1"/>
                  </w14:solidFill>
                </w14:textFill>
              </w:rPr>
              <w:t>上一学年获得</w:t>
            </w:r>
            <w:r>
              <w:rPr>
                <w:rFonts w:hint="eastAsia" w:ascii="仿宋" w:hAnsi="仿宋" w:eastAsia="仿宋" w:cs="仿宋"/>
                <w:b w:val="0"/>
                <w:bCs/>
                <w:color w:val="000000" w:themeColor="text1"/>
                <w:sz w:val="21"/>
                <w:szCs w:val="21"/>
                <w:lang w:val="en-US" w:eastAsia="zh-CN"/>
                <w14:textFill>
                  <w14:solidFill>
                    <w14:schemeClr w14:val="tx1"/>
                  </w14:solidFill>
                </w14:textFill>
              </w:rPr>
              <w:t>校</w:t>
            </w:r>
            <w:r>
              <w:rPr>
                <w:rFonts w:hint="eastAsia" w:ascii="仿宋" w:hAnsi="仿宋" w:eastAsia="仿宋" w:cs="仿宋"/>
                <w:b w:val="0"/>
                <w:bCs/>
                <w:color w:val="000000" w:themeColor="text1"/>
                <w:sz w:val="21"/>
                <w:szCs w:val="21"/>
                <w14:textFill>
                  <w14:solidFill>
                    <w14:schemeClr w14:val="tx1"/>
                  </w14:solidFill>
                </w14:textFill>
              </w:rPr>
              <w:t>级文化科技类奖励</w:t>
            </w:r>
          </w:p>
        </w:tc>
        <w:tc>
          <w:tcPr>
            <w:tcW w:w="334"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优秀</w:t>
            </w:r>
          </w:p>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称号</w:t>
            </w: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b w:val="0"/>
                <w:bCs/>
                <w:color w:val="000000" w:themeColor="text1"/>
                <w:sz w:val="21"/>
                <w:szCs w:val="21"/>
                <w14:textFill>
                  <w14:solidFill>
                    <w14:schemeClr w14:val="tx1"/>
                  </w14:solidFill>
                </w14:textFill>
              </w:rPr>
              <w:t>上一学年获得北京市级（含）以上三好学生、优秀学生干部、优秀团员、优秀共产党员称号</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continue"/>
            <w:tcBorders>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b w:val="0"/>
                <w:bCs/>
                <w:color w:val="000000" w:themeColor="text1"/>
                <w:sz w:val="21"/>
                <w:szCs w:val="21"/>
                <w14:textFill>
                  <w14:solidFill>
                    <w14:schemeClr w14:val="tx1"/>
                  </w14:solidFill>
                </w14:textFill>
              </w:rPr>
              <w:t>上一学年获得校级三好学生、优秀学生干部、优秀团员、优秀共产党员称号</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restart"/>
            <w:tcBorders>
              <w:top w:val="single" w:color="auto" w:sz="4" w:space="0"/>
              <w:left w:val="single" w:color="000000"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学生</w:t>
            </w:r>
          </w:p>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干部</w:t>
            </w: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14:textFill>
                  <w14:solidFill>
                    <w14:schemeClr w14:val="tx1"/>
                  </w14:solidFill>
                </w14:textFill>
              </w:rPr>
              <w:t>上一学年担任校研究生会部长（含）以上学生干部、研究生分会（副）主席、班长、党支部书记</w:t>
            </w:r>
          </w:p>
        </w:tc>
        <w:tc>
          <w:tcPr>
            <w:tcW w:w="334"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15</w:t>
            </w:r>
          </w:p>
        </w:tc>
      </w:tr>
      <w:tr>
        <w:tblPrEx>
          <w:tblCellMar>
            <w:top w:w="0" w:type="dxa"/>
            <w:left w:w="0" w:type="dxa"/>
            <w:bottom w:w="0" w:type="dxa"/>
            <w:right w:w="0" w:type="dxa"/>
          </w:tblCellMar>
        </w:tblPrEx>
        <w:trPr>
          <w:trHeight w:val="636" w:hRule="atLeast"/>
          <w:jc w:val="center"/>
        </w:trPr>
        <w:tc>
          <w:tcPr>
            <w:tcW w:w="422" w:type="pct"/>
            <w:vMerge w:val="continue"/>
            <w:tcBorders>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p>
        </w:tc>
        <w:tc>
          <w:tcPr>
            <w:tcW w:w="320" w:type="pct"/>
            <w:vMerge w:val="continue"/>
            <w:tcBorders>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color w:val="000000" w:themeColor="text1"/>
                <w:kern w:val="0"/>
                <w:sz w:val="21"/>
                <w:szCs w:val="21"/>
                <w:lang w:val="en-US" w:eastAsia="zh-CN"/>
                <w14:textFill>
                  <w14:solidFill>
                    <w14:schemeClr w14:val="tx1"/>
                  </w14:solidFill>
                </w14:textFill>
              </w:rPr>
            </w:pPr>
          </w:p>
        </w:tc>
        <w:tc>
          <w:tcPr>
            <w:tcW w:w="3922" w:type="pct"/>
            <w:gridSpan w:val="2"/>
            <w:tcBorders>
              <w:top w:val="single" w:color="auto" w:sz="4" w:space="0"/>
              <w:left w:val="single" w:color="auto"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b w:val="0"/>
                <w:bCs/>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14:textFill>
                  <w14:solidFill>
                    <w14:schemeClr w14:val="tx1"/>
                  </w14:solidFill>
                </w14:textFill>
              </w:rPr>
              <w:t>上一学年担任其他学生干部（研究生分会部长、党支部委员等</w:t>
            </w:r>
            <w:r>
              <w:rPr>
                <w:rFonts w:hint="eastAsia" w:ascii="仿宋" w:hAnsi="仿宋" w:eastAsia="仿宋" w:cs="仿宋"/>
                <w:color w:val="000000" w:themeColor="text1"/>
                <w:kern w:val="0"/>
                <w:sz w:val="21"/>
                <w:szCs w:val="21"/>
                <w:lang w:eastAsia="zh-CN"/>
                <w14:textFill>
                  <w14:solidFill>
                    <w14:schemeClr w14:val="tx1"/>
                  </w14:solidFill>
                </w14:textFill>
              </w:rPr>
              <w:t>）</w:t>
            </w:r>
          </w:p>
        </w:tc>
        <w:tc>
          <w:tcPr>
            <w:tcW w:w="334" w:type="pct"/>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5</w:t>
            </w:r>
          </w:p>
        </w:tc>
      </w:tr>
    </w:tbl>
    <w:p>
      <w:pPr>
        <w:rPr>
          <w:rFonts w:hint="eastAsia" w:ascii="仿宋" w:hAnsi="仿宋" w:eastAsia="仿宋" w:cs="仿宋"/>
          <w:sz w:val="21"/>
        </w:rPr>
      </w:pPr>
      <w:r>
        <w:rPr>
          <w:rFonts w:hint="eastAsia" w:ascii="仿宋" w:hAnsi="仿宋" w:eastAsia="仿宋" w:cs="仿宋"/>
          <w:sz w:val="21"/>
          <w:lang w:val="en-US" w:eastAsia="zh-CN"/>
        </w:rPr>
        <w:t>备</w:t>
      </w:r>
      <w:r>
        <w:rPr>
          <w:rFonts w:hint="eastAsia" w:ascii="仿宋" w:hAnsi="仿宋" w:eastAsia="仿宋" w:cs="仿宋"/>
          <w:sz w:val="21"/>
        </w:rPr>
        <w:t>注：</w:t>
      </w:r>
    </w:p>
    <w:p>
      <w:pPr>
        <w:rPr>
          <w:rFonts w:hint="eastAsia" w:ascii="仿宋" w:hAnsi="仿宋" w:eastAsia="仿宋" w:cs="仿宋"/>
          <w:sz w:val="21"/>
        </w:rPr>
      </w:pPr>
      <w:r>
        <w:rPr>
          <w:rFonts w:hint="eastAsia" w:ascii="仿宋" w:hAnsi="仿宋" w:eastAsia="仿宋" w:cs="仿宋"/>
          <w:sz w:val="21"/>
          <w:lang w:eastAsia="zh-CN"/>
        </w:rPr>
        <w:t>（</w:t>
      </w:r>
      <w:r>
        <w:rPr>
          <w:rFonts w:hint="eastAsia" w:ascii="仿宋" w:hAnsi="仿宋" w:eastAsia="仿宋" w:cs="仿宋"/>
          <w:sz w:val="21"/>
          <w:lang w:val="en-US" w:eastAsia="zh-CN"/>
        </w:rPr>
        <w:t>1</w:t>
      </w:r>
      <w:r>
        <w:rPr>
          <w:rFonts w:hint="eastAsia" w:ascii="仿宋" w:hAnsi="仿宋" w:eastAsia="仿宋" w:cs="仿宋"/>
          <w:sz w:val="21"/>
          <w:lang w:eastAsia="zh-CN"/>
        </w:rPr>
        <w:t>）</w:t>
      </w:r>
      <w:r>
        <w:rPr>
          <w:rFonts w:hint="eastAsia" w:ascii="仿宋" w:hAnsi="仿宋" w:eastAsia="仿宋" w:cs="仿宋"/>
          <w:sz w:val="21"/>
        </w:rPr>
        <w:t>科技论文及国家发明专利分数可累加。文章见刊时间</w:t>
      </w:r>
      <w:r>
        <w:rPr>
          <w:rFonts w:hint="eastAsia" w:ascii="仿宋" w:hAnsi="仿宋" w:eastAsia="仿宋" w:cs="仿宋"/>
          <w:sz w:val="21"/>
          <w:lang w:val="en-US" w:eastAsia="zh-CN"/>
        </w:rPr>
        <w:t>为上一年度9月1日至当年8月31日</w:t>
      </w:r>
      <w:r>
        <w:rPr>
          <w:rFonts w:hint="eastAsia" w:ascii="仿宋" w:hAnsi="仿宋" w:eastAsia="仿宋" w:cs="仿宋"/>
          <w:sz w:val="21"/>
        </w:rPr>
        <w:t>，以第一作者</w:t>
      </w:r>
      <w:r>
        <w:rPr>
          <w:rFonts w:hint="eastAsia" w:ascii="仿宋" w:hAnsi="仿宋" w:eastAsia="仿宋" w:cs="仿宋"/>
          <w:sz w:val="21"/>
          <w:lang w:val="en-US" w:eastAsia="zh-CN"/>
        </w:rPr>
        <w:t>发表</w:t>
      </w:r>
      <w:r>
        <w:rPr>
          <w:rFonts w:hint="eastAsia" w:ascii="仿宋" w:hAnsi="仿宋" w:eastAsia="仿宋" w:cs="仿宋"/>
          <w:sz w:val="21"/>
        </w:rPr>
        <w:t>且所属单位必须为中国地质大学（北京）</w:t>
      </w:r>
    </w:p>
    <w:p>
      <w:pPr>
        <w:rPr>
          <w:rFonts w:hint="eastAsia" w:ascii="仿宋" w:hAnsi="仿宋" w:eastAsia="仿宋" w:cs="仿宋"/>
          <w:sz w:val="21"/>
        </w:rPr>
      </w:pPr>
      <w:r>
        <w:rPr>
          <w:rFonts w:hint="eastAsia" w:ascii="仿宋" w:hAnsi="仿宋" w:eastAsia="仿宋" w:cs="仿宋"/>
          <w:sz w:val="21"/>
          <w:lang w:eastAsia="zh-CN"/>
        </w:rPr>
        <w:t>（</w:t>
      </w:r>
      <w:r>
        <w:rPr>
          <w:rFonts w:hint="eastAsia" w:ascii="仿宋" w:hAnsi="仿宋" w:eastAsia="仿宋" w:cs="仿宋"/>
          <w:sz w:val="21"/>
          <w:lang w:val="en-US" w:eastAsia="zh-CN"/>
        </w:rPr>
        <w:t>2</w:t>
      </w:r>
      <w:r>
        <w:rPr>
          <w:rFonts w:hint="eastAsia" w:ascii="仿宋" w:hAnsi="仿宋" w:eastAsia="仿宋" w:cs="仿宋"/>
          <w:sz w:val="21"/>
          <w:lang w:eastAsia="zh-CN"/>
        </w:rPr>
        <w:t>）</w:t>
      </w:r>
      <w:r>
        <w:rPr>
          <w:rFonts w:hint="eastAsia" w:ascii="仿宋" w:hAnsi="仿宋" w:eastAsia="仿宋" w:cs="仿宋"/>
          <w:sz w:val="21"/>
        </w:rPr>
        <w:t>以上各单项项内分数不累加。</w:t>
      </w:r>
    </w:p>
    <w:p>
      <w:pPr>
        <w:rPr>
          <w:rFonts w:hint="default" w:ascii="仿宋" w:hAnsi="仿宋" w:eastAsia="仿宋" w:cs="仿宋"/>
          <w:b/>
          <w:bCs w:val="0"/>
          <w:sz w:val="28"/>
          <w:szCs w:val="28"/>
          <w:highlight w:val="none"/>
          <w:lang w:val="en-US" w:eastAsia="zh-CN"/>
        </w:rPr>
      </w:pPr>
      <w:r>
        <w:rPr>
          <w:rFonts w:hint="default" w:ascii="仿宋" w:hAnsi="仿宋" w:eastAsia="仿宋" w:cs="仿宋"/>
          <w:b/>
          <w:bCs w:val="0"/>
          <w:sz w:val="28"/>
          <w:szCs w:val="28"/>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附表2（博士研究生）：</w:t>
      </w:r>
    </w:p>
    <w:tbl>
      <w:tblPr>
        <w:tblStyle w:val="7"/>
        <w:tblW w:w="5315" w:type="pct"/>
        <w:jc w:val="center"/>
        <w:tblLayout w:type="autofit"/>
        <w:tblCellMar>
          <w:top w:w="0" w:type="dxa"/>
          <w:left w:w="0" w:type="dxa"/>
          <w:bottom w:w="0" w:type="dxa"/>
          <w:right w:w="0" w:type="dxa"/>
        </w:tblCellMar>
      </w:tblPr>
      <w:tblGrid>
        <w:gridCol w:w="924"/>
        <w:gridCol w:w="1683"/>
        <w:gridCol w:w="5488"/>
        <w:gridCol w:w="760"/>
      </w:tblGrid>
      <w:tr>
        <w:tblPrEx>
          <w:tblCellMar>
            <w:top w:w="0" w:type="dxa"/>
            <w:left w:w="0" w:type="dxa"/>
            <w:bottom w:w="0" w:type="dxa"/>
            <w:right w:w="0" w:type="dxa"/>
          </w:tblCellMar>
        </w:tblPrEx>
        <w:trPr>
          <w:trHeight w:val="256" w:hRule="atLeast"/>
          <w:jc w:val="center"/>
        </w:trPr>
        <w:tc>
          <w:tcPr>
            <w:tcW w:w="522" w:type="pct"/>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b/>
                <w:bCs/>
                <w:kern w:val="0"/>
                <w:sz w:val="21"/>
                <w:szCs w:val="21"/>
                <w:lang w:val="en-US" w:eastAsia="zh-CN"/>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成果分类</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项目</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分值</w:t>
            </w:r>
          </w:p>
        </w:tc>
      </w:tr>
      <w:tr>
        <w:tblPrEx>
          <w:tblCellMar>
            <w:top w:w="0" w:type="dxa"/>
            <w:left w:w="0" w:type="dxa"/>
            <w:bottom w:w="0" w:type="dxa"/>
            <w:right w:w="0" w:type="dxa"/>
          </w:tblCellMar>
        </w:tblPrEx>
        <w:trPr>
          <w:trHeight w:val="256" w:hRule="atLeast"/>
          <w:jc w:val="center"/>
        </w:trPr>
        <w:tc>
          <w:tcPr>
            <w:tcW w:w="522" w:type="pct"/>
            <w:vMerge w:val="restart"/>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kern w:val="0"/>
                <w:sz w:val="21"/>
                <w:szCs w:val="21"/>
                <w:lang w:val="en-US" w:eastAsia="zh-CN"/>
              </w:rPr>
              <w:t>科研成果</w:t>
            </w:r>
          </w:p>
        </w:tc>
        <w:tc>
          <w:tcPr>
            <w:tcW w:w="950" w:type="pct"/>
            <w:vMerge w:val="restart"/>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r>
              <w:rPr>
                <w:rFonts w:hint="eastAsia" w:ascii="仿宋" w:hAnsi="仿宋" w:eastAsia="仿宋" w:cs="仿宋"/>
                <w:kern w:val="0"/>
                <w:sz w:val="21"/>
                <w:szCs w:val="21"/>
              </w:rPr>
              <w:t>标志性期刊论文</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rPr>
            </w:pPr>
            <w:r>
              <w:rPr>
                <w:rFonts w:hint="eastAsia" w:ascii="仿宋" w:hAnsi="仿宋" w:eastAsia="仿宋" w:cs="仿宋"/>
                <w:color w:val="000000"/>
                <w:sz w:val="21"/>
                <w:szCs w:val="21"/>
              </w:rPr>
              <w:t>标志性期刊目录A区论文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lang w:val="en-US" w:eastAsia="zh-CN"/>
              </w:rPr>
            </w:pPr>
            <w:r>
              <w:rPr>
                <w:rFonts w:hint="eastAsia" w:ascii="仿宋" w:hAnsi="仿宋" w:eastAsia="仿宋" w:cs="仿宋"/>
                <w:color w:val="000000"/>
                <w:sz w:val="21"/>
                <w:szCs w:val="21"/>
              </w:rPr>
              <w:t>标志性期刊目录B区论文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学院榜刊</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vMerge w:val="continue"/>
            <w:tcBorders>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rPr>
            </w:pPr>
            <w:r>
              <w:rPr>
                <w:rFonts w:hint="eastAsia" w:ascii="仿宋" w:hAnsi="仿宋" w:eastAsia="仿宋" w:cs="仿宋"/>
                <w:color w:val="000000"/>
                <w:sz w:val="21"/>
                <w:szCs w:val="21"/>
              </w:rPr>
              <w:t>标志性期刊目录C区论文（Q1）</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rPr>
            </w:pPr>
            <w:r>
              <w:rPr>
                <w:rFonts w:hint="eastAsia" w:ascii="仿宋" w:hAnsi="仿宋" w:eastAsia="仿宋" w:cs="仿宋"/>
                <w:color w:val="000000"/>
                <w:sz w:val="21"/>
                <w:szCs w:val="21"/>
              </w:rPr>
              <w:t>标志性期刊目录D区论文（Q2）</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rPr>
              <w:t>3</w:t>
            </w:r>
            <w:r>
              <w:rPr>
                <w:rFonts w:hint="eastAsia" w:ascii="仿宋" w:hAnsi="仿宋" w:eastAsia="仿宋" w:cs="仿宋"/>
                <w:kern w:val="0"/>
                <w:sz w:val="21"/>
                <w:szCs w:val="21"/>
              </w:rPr>
              <w:t>5</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vMerge w:val="restart"/>
            <w:tcBorders>
              <w:top w:val="single" w:color="000000" w:sz="4" w:space="0"/>
              <w:left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rPr>
              <w:t>其他期刊论文</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rPr>
              <w:t>在除上述之外的其他期刊上发表的SCI/SSCI学术成果</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20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中文SCI</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15</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vMerge w:val="continue"/>
            <w:tcBorders>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sz w:val="21"/>
                <w:szCs w:val="21"/>
              </w:rPr>
            </w:pP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sz w:val="21"/>
                <w:szCs w:val="21"/>
                <w:lang w:val="en-US" w:eastAsia="zh-CN"/>
              </w:rPr>
            </w:pPr>
            <w:r>
              <w:rPr>
                <w:rFonts w:hint="eastAsia" w:ascii="仿宋" w:hAnsi="仿宋" w:eastAsia="仿宋" w:cs="仿宋"/>
                <w:kern w:val="0"/>
                <w:sz w:val="21"/>
                <w:szCs w:val="21"/>
              </w:rPr>
              <w:t>中文卓越期刊目录论文</w:t>
            </w:r>
            <w:r>
              <w:rPr>
                <w:rFonts w:hint="eastAsia" w:ascii="仿宋" w:hAnsi="仿宋" w:eastAsia="仿宋" w:cs="仿宋"/>
                <w:b w:val="0"/>
                <w:bCs/>
                <w:sz w:val="21"/>
                <w:szCs w:val="21"/>
                <w:lang w:val="en-US" w:eastAsia="zh-CN"/>
              </w:rPr>
              <w:t>/</w:t>
            </w:r>
            <w:r>
              <w:rPr>
                <w:rFonts w:hint="eastAsia" w:ascii="仿宋" w:hAnsi="仿宋" w:eastAsia="仿宋" w:cs="仿宋"/>
                <w:b w:val="0"/>
                <w:bCs/>
                <w:sz w:val="21"/>
                <w:szCs w:val="21"/>
              </w:rPr>
              <w:t>EI、ISTP检索论文</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0"/>
                <w:sz w:val="21"/>
                <w:szCs w:val="21"/>
              </w:rPr>
              <w:t>专著</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0"/>
                <w:sz w:val="21"/>
                <w:szCs w:val="21"/>
              </w:rPr>
              <w:t>中、英文学术第一作者</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300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rPr>
              <w:t>科技成果奖</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kern w:val="0"/>
                <w:sz w:val="21"/>
                <w:szCs w:val="21"/>
                <w:lang w:val="en-US" w:eastAsia="zh-CN" w:bidi="ar-SA"/>
              </w:rPr>
            </w:pPr>
            <w:r>
              <w:rPr>
                <w:rFonts w:hint="eastAsia" w:ascii="仿宋" w:hAnsi="仿宋" w:eastAsia="仿宋" w:cs="仿宋"/>
                <w:kern w:val="0"/>
                <w:sz w:val="21"/>
                <w:szCs w:val="21"/>
              </w:rPr>
              <w:t>省部级以上科技成果奖</w:t>
            </w: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国家级前十，省部级前五</w:t>
            </w:r>
            <w:r>
              <w:rPr>
                <w:rFonts w:hint="eastAsia" w:ascii="仿宋" w:hAnsi="仿宋" w:eastAsia="仿宋" w:cs="仿宋"/>
                <w:kern w:val="0"/>
                <w:sz w:val="21"/>
                <w:szCs w:val="21"/>
                <w:lang w:eastAsia="zh-CN"/>
              </w:rPr>
              <w:t>）</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2"/>
                <w:sz w:val="21"/>
                <w:szCs w:val="21"/>
                <w:lang w:val="en-US" w:eastAsia="zh-CN" w:bidi="ar-SA"/>
              </w:rPr>
            </w:pPr>
            <w:r>
              <w:rPr>
                <w:rFonts w:hint="eastAsia" w:ascii="仿宋" w:hAnsi="仿宋" w:eastAsia="仿宋" w:cs="仿宋"/>
                <w:kern w:val="0"/>
                <w:sz w:val="21"/>
                <w:szCs w:val="21"/>
                <w:lang w:val="en-US" w:eastAsia="zh-CN"/>
              </w:rPr>
              <w:t>100</w:t>
            </w:r>
          </w:p>
        </w:tc>
      </w:tr>
      <w:tr>
        <w:tblPrEx>
          <w:tblCellMar>
            <w:top w:w="0" w:type="dxa"/>
            <w:left w:w="0" w:type="dxa"/>
            <w:bottom w:w="0" w:type="dxa"/>
            <w:right w:w="0" w:type="dxa"/>
          </w:tblCellMar>
        </w:tblPrEx>
        <w:trPr>
          <w:trHeight w:val="256"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tcBorders>
              <w:top w:val="single" w:color="000000" w:sz="4" w:space="0"/>
              <w:left w:val="single" w:color="auto"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国家发明专利</w:t>
            </w:r>
          </w:p>
        </w:tc>
        <w:tc>
          <w:tcPr>
            <w:tcW w:w="3098"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kern w:val="0"/>
                <w:sz w:val="21"/>
                <w:szCs w:val="21"/>
              </w:rPr>
            </w:pPr>
            <w:r>
              <w:rPr>
                <w:rFonts w:hint="eastAsia" w:ascii="仿宋" w:hAnsi="仿宋" w:eastAsia="仿宋" w:cs="仿宋"/>
                <w:kern w:val="0"/>
                <w:sz w:val="21"/>
                <w:szCs w:val="21"/>
                <w:lang w:val="en-US" w:eastAsia="zh-CN"/>
              </w:rPr>
              <w:t>已授权第一人</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20</w:t>
            </w:r>
          </w:p>
        </w:tc>
      </w:tr>
      <w:tr>
        <w:tblPrEx>
          <w:tblCellMar>
            <w:top w:w="0" w:type="dxa"/>
            <w:left w:w="0" w:type="dxa"/>
            <w:bottom w:w="0" w:type="dxa"/>
            <w:right w:w="0" w:type="dxa"/>
          </w:tblCellMar>
        </w:tblPrEx>
        <w:trPr>
          <w:trHeight w:val="660" w:hRule="atLeast"/>
          <w:jc w:val="center"/>
        </w:trPr>
        <w:tc>
          <w:tcPr>
            <w:tcW w:w="522" w:type="pct"/>
            <w:vMerge w:val="continue"/>
            <w:tcBorders>
              <w:top w:val="single" w:color="auto" w:sz="4" w:space="0"/>
              <w:left w:val="single" w:color="000000" w:sz="4" w:space="0"/>
              <w:bottom w:val="single" w:color="auto" w:sz="4" w:space="0"/>
              <w:right w:val="single" w:color="auto"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hint="eastAsia" w:ascii="仿宋" w:hAnsi="仿宋" w:eastAsia="仿宋" w:cs="仿宋"/>
                <w:sz w:val="21"/>
                <w:szCs w:val="21"/>
              </w:rPr>
            </w:pPr>
          </w:p>
        </w:tc>
        <w:tc>
          <w:tcPr>
            <w:tcW w:w="950" w:type="pct"/>
            <w:tcBorders>
              <w:top w:val="single" w:color="000000" w:sz="4" w:space="0"/>
              <w:left w:val="single" w:color="auto"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实用新型</w:t>
            </w:r>
          </w:p>
          <w:p>
            <w:pPr>
              <w:widowControl/>
              <w:tabs>
                <w:tab w:val="left" w:pos="0"/>
              </w:tabs>
              <w:adjustRightInd w:val="0"/>
              <w:snapToGrid w:val="0"/>
              <w:spacing w:line="276" w:lineRule="auto"/>
              <w:jc w:val="center"/>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软件著作权</w:t>
            </w:r>
          </w:p>
        </w:tc>
        <w:tc>
          <w:tcPr>
            <w:tcW w:w="3098"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已授权第一人</w:t>
            </w:r>
          </w:p>
        </w:tc>
        <w:tc>
          <w:tcPr>
            <w:tcW w:w="429"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10</w:t>
            </w:r>
          </w:p>
        </w:tc>
      </w:tr>
    </w:tbl>
    <w:p>
      <w:pPr>
        <w:rPr>
          <w:rFonts w:hint="eastAsia" w:ascii="仿宋" w:hAnsi="仿宋" w:eastAsia="仿宋" w:cs="仿宋"/>
          <w:b w:val="0"/>
          <w:bCs/>
          <w:color w:val="auto"/>
          <w:sz w:val="21"/>
          <w:szCs w:val="21"/>
          <w:u w:val="none"/>
        </w:rPr>
      </w:pPr>
      <w:r>
        <w:rPr>
          <w:rFonts w:hint="eastAsia" w:ascii="仿宋" w:hAnsi="仿宋" w:eastAsia="仿宋" w:cs="仿宋"/>
          <w:b w:val="0"/>
          <w:bCs/>
          <w:color w:val="auto"/>
          <w:sz w:val="21"/>
          <w:szCs w:val="21"/>
          <w:u w:val="none"/>
          <w:lang w:val="en-US" w:eastAsia="zh-CN"/>
        </w:rPr>
        <w:t>备</w:t>
      </w:r>
      <w:r>
        <w:rPr>
          <w:rFonts w:hint="eastAsia" w:ascii="仿宋" w:hAnsi="仿宋" w:eastAsia="仿宋" w:cs="仿宋"/>
          <w:b w:val="0"/>
          <w:bCs/>
          <w:color w:val="auto"/>
          <w:sz w:val="21"/>
          <w:szCs w:val="21"/>
          <w:u w:val="none"/>
        </w:rPr>
        <w:t>注：</w:t>
      </w:r>
    </w:p>
    <w:p>
      <w:pPr>
        <w:numPr>
          <w:ilvl w:val="0"/>
          <w:numId w:val="4"/>
        </w:numPr>
        <w:rPr>
          <w:rFonts w:hint="eastAsia" w:ascii="仿宋" w:hAnsi="仿宋" w:eastAsia="仿宋" w:cs="仿宋"/>
          <w:b w:val="0"/>
          <w:bCs/>
          <w:color w:val="auto"/>
          <w:sz w:val="21"/>
          <w:szCs w:val="21"/>
          <w:u w:val="none"/>
        </w:rPr>
      </w:pPr>
      <w:r>
        <w:rPr>
          <w:rFonts w:hint="eastAsia" w:ascii="仿宋" w:hAnsi="仿宋" w:eastAsia="仿宋" w:cs="仿宋"/>
          <w:b w:val="0"/>
          <w:bCs/>
          <w:color w:val="auto"/>
          <w:sz w:val="21"/>
          <w:szCs w:val="21"/>
          <w:u w:val="none"/>
        </w:rPr>
        <w:t>科技论文及国家发明专利分数可累加。文章见刊时间</w:t>
      </w:r>
      <w:r>
        <w:rPr>
          <w:rFonts w:hint="eastAsia" w:ascii="仿宋" w:hAnsi="仿宋" w:eastAsia="仿宋" w:cs="仿宋"/>
          <w:b w:val="0"/>
          <w:bCs/>
          <w:color w:val="auto"/>
          <w:sz w:val="21"/>
          <w:szCs w:val="21"/>
          <w:u w:val="none"/>
          <w:lang w:val="en-US" w:eastAsia="zh-CN"/>
        </w:rPr>
        <w:t>为上一年度9月1日至当年8月31日</w:t>
      </w:r>
      <w:r>
        <w:rPr>
          <w:rFonts w:hint="eastAsia" w:ascii="仿宋" w:hAnsi="仿宋" w:eastAsia="仿宋" w:cs="仿宋"/>
          <w:b w:val="0"/>
          <w:bCs/>
          <w:color w:val="auto"/>
          <w:sz w:val="21"/>
          <w:szCs w:val="21"/>
          <w:u w:val="none"/>
        </w:rPr>
        <w:t>，以第一作者</w:t>
      </w:r>
      <w:r>
        <w:rPr>
          <w:rFonts w:hint="eastAsia" w:ascii="仿宋" w:hAnsi="仿宋" w:eastAsia="仿宋" w:cs="仿宋"/>
          <w:b w:val="0"/>
          <w:bCs/>
          <w:color w:val="auto"/>
          <w:sz w:val="21"/>
          <w:szCs w:val="21"/>
          <w:u w:val="none"/>
          <w:lang w:val="en-US" w:eastAsia="zh-CN"/>
        </w:rPr>
        <w:t>发表</w:t>
      </w:r>
      <w:r>
        <w:rPr>
          <w:rFonts w:hint="eastAsia" w:ascii="仿宋" w:hAnsi="仿宋" w:eastAsia="仿宋" w:cs="仿宋"/>
          <w:b w:val="0"/>
          <w:bCs/>
          <w:color w:val="auto"/>
          <w:sz w:val="21"/>
          <w:szCs w:val="21"/>
          <w:u w:val="none"/>
        </w:rPr>
        <w:t>且所属单位必须为中国地质大学（北京）。</w:t>
      </w:r>
    </w:p>
    <w:p>
      <w:pPr>
        <w:numPr>
          <w:ilvl w:val="0"/>
          <w:numId w:val="4"/>
        </w:numPr>
        <w:rPr>
          <w:rFonts w:hint="eastAsia" w:ascii="仿宋" w:hAnsi="仿宋" w:eastAsia="仿宋" w:cs="仿宋"/>
          <w:b/>
          <w:bCs w:val="0"/>
          <w:sz w:val="28"/>
          <w:szCs w:val="28"/>
          <w:highlight w:val="none"/>
          <w:lang w:val="en-US" w:eastAsia="zh-CN"/>
        </w:rPr>
      </w:pPr>
      <w:r>
        <w:rPr>
          <w:rFonts w:hint="eastAsia" w:ascii="仿宋" w:hAnsi="仿宋" w:eastAsia="仿宋" w:cs="仿宋"/>
          <w:b w:val="0"/>
          <w:bCs/>
          <w:sz w:val="21"/>
          <w:szCs w:val="21"/>
          <w:highlight w:val="none"/>
          <w:lang w:val="en-US" w:eastAsia="zh-CN"/>
        </w:rPr>
        <w:t>同等条件下平时成绩、综合表现等作为参考。</w:t>
      </w:r>
      <w:r>
        <w:rPr>
          <w:rFonts w:hint="eastAsia" w:ascii="仿宋" w:hAnsi="仿宋" w:eastAsia="仿宋" w:cs="仿宋"/>
          <w:b/>
          <w:bCs w:val="0"/>
          <w:sz w:val="28"/>
          <w:szCs w:val="28"/>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30"/>
          <w:szCs w:val="30"/>
          <w:highlight w:val="none"/>
          <w:lang w:val="en-US" w:eastAsia="zh-CN"/>
        </w:rPr>
      </w:pPr>
      <w:r>
        <w:rPr>
          <w:rFonts w:hint="eastAsia" w:ascii="仿宋" w:hAnsi="仿宋" w:eastAsia="仿宋" w:cs="仿宋"/>
          <w:b/>
          <w:bCs w:val="0"/>
          <w:sz w:val="24"/>
          <w:szCs w:val="24"/>
          <w:highlight w:val="none"/>
          <w:lang w:val="en-US" w:eastAsia="zh-CN"/>
        </w:rPr>
        <w:t>附表3（期刊分区）：</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0" w:leftChars="0"/>
        <w:jc w:val="center"/>
        <w:textAlignment w:val="auto"/>
        <w:rPr>
          <w:rFonts w:hint="eastAsia" w:ascii="仿宋" w:hAnsi="仿宋" w:eastAsia="仿宋" w:cs="仿宋"/>
          <w:b/>
          <w:bCs w:val="0"/>
          <w:sz w:val="30"/>
          <w:szCs w:val="30"/>
          <w:highlight w:val="none"/>
          <w:lang w:val="en-US" w:eastAsia="zh-CN"/>
        </w:rPr>
      </w:pPr>
      <w:r>
        <w:rPr>
          <w:rFonts w:hint="eastAsia" w:ascii="仿宋" w:hAnsi="仿宋" w:eastAsia="仿宋" w:cs="仿宋"/>
          <w:b/>
          <w:bCs w:val="0"/>
          <w:sz w:val="30"/>
          <w:szCs w:val="30"/>
          <w:highlight w:val="none"/>
          <w:lang w:val="en-US" w:eastAsia="zh-CN"/>
        </w:rPr>
        <w:t>中国地质大学（北京）</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0" w:leftChars="0"/>
        <w:jc w:val="center"/>
        <w:textAlignment w:val="auto"/>
        <w:rPr>
          <w:rFonts w:hint="default" w:ascii="仿宋" w:hAnsi="仿宋" w:eastAsia="仿宋" w:cs="仿宋"/>
          <w:b/>
          <w:bCs w:val="0"/>
          <w:sz w:val="30"/>
          <w:szCs w:val="30"/>
          <w:highlight w:val="none"/>
          <w:lang w:val="en-US" w:eastAsia="zh-CN"/>
        </w:rPr>
      </w:pPr>
      <w:r>
        <w:rPr>
          <w:rFonts w:hint="eastAsia" w:ascii="仿宋" w:hAnsi="仿宋" w:eastAsia="仿宋" w:cs="仿宋"/>
          <w:b/>
          <w:bCs w:val="0"/>
          <w:sz w:val="30"/>
          <w:szCs w:val="30"/>
          <w:highlight w:val="none"/>
          <w:lang w:val="en-US" w:eastAsia="zh-CN"/>
        </w:rPr>
        <w:t>自然科学高水平学术成果标志性期刊目录</w:t>
      </w:r>
    </w:p>
    <w:tbl>
      <w:tblPr>
        <w:tblStyle w:val="7"/>
        <w:tblW w:w="52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566"/>
        <w:gridCol w:w="799"/>
        <w:gridCol w:w="5299"/>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36" w:type="pct"/>
            <w:gridSpan w:val="2"/>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b/>
                <w:color w:val="000000"/>
                <w:kern w:val="0"/>
                <w:sz w:val="21"/>
                <w:szCs w:val="21"/>
              </w:rPr>
            </w:pPr>
            <w:r>
              <w:rPr>
                <w:rFonts w:hint="eastAsia" w:ascii="仿宋" w:hAnsi="仿宋" w:eastAsia="仿宋" w:cs="仿宋"/>
                <w:b/>
                <w:color w:val="000000"/>
                <w:kern w:val="0"/>
                <w:sz w:val="21"/>
                <w:szCs w:val="21"/>
              </w:rPr>
              <w:t>类别和分区</w:t>
            </w:r>
          </w:p>
        </w:tc>
        <w:tc>
          <w:tcPr>
            <w:tcW w:w="449"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b/>
                <w:color w:val="000000"/>
                <w:kern w:val="0"/>
                <w:sz w:val="21"/>
                <w:szCs w:val="21"/>
              </w:rPr>
            </w:pPr>
            <w:r>
              <w:rPr>
                <w:rFonts w:hint="eastAsia" w:ascii="仿宋" w:hAnsi="仿宋" w:eastAsia="仿宋" w:cs="仿宋"/>
                <w:b/>
                <w:color w:val="000000"/>
                <w:kern w:val="0"/>
                <w:sz w:val="21"/>
                <w:szCs w:val="21"/>
              </w:rPr>
              <w:t>序号</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center"/>
              <w:rPr>
                <w:rFonts w:hint="eastAsia" w:ascii="仿宋" w:hAnsi="仿宋" w:eastAsia="仿宋" w:cs="仿宋"/>
                <w:b/>
                <w:color w:val="000000"/>
                <w:kern w:val="0"/>
                <w:sz w:val="21"/>
                <w:szCs w:val="21"/>
              </w:rPr>
            </w:pPr>
            <w:r>
              <w:rPr>
                <w:rFonts w:hint="eastAsia" w:ascii="仿宋" w:hAnsi="仿宋" w:eastAsia="仿宋" w:cs="仿宋"/>
                <w:b/>
                <w:color w:val="000000"/>
                <w:kern w:val="0"/>
                <w:sz w:val="21"/>
                <w:szCs w:val="21"/>
              </w:rPr>
              <w:t>刊名</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b/>
                <w:color w:val="000000"/>
                <w:kern w:val="0"/>
                <w:sz w:val="21"/>
                <w:szCs w:val="21"/>
              </w:rPr>
            </w:pPr>
            <w:r>
              <w:rPr>
                <w:rFonts w:hint="eastAsia" w:ascii="仿宋" w:hAnsi="仿宋" w:eastAsia="仿宋" w:cs="仿宋"/>
                <w:color w:val="000000"/>
                <w:kern w:val="0"/>
                <w:sz w:val="21"/>
                <w:szCs w:val="21"/>
              </w:rPr>
              <w:t>ISSN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顶级</w:t>
            </w:r>
          </w:p>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期刊</w:t>
            </w:r>
          </w:p>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(A区)</w:t>
            </w:r>
          </w:p>
        </w:tc>
        <w:tc>
          <w:tcPr>
            <w:tcW w:w="318"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A1</w:t>
            </w: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Nature</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0028-0836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Science</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0036-8075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A2</w:t>
            </w: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Nature Geoscience</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1752-0894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Nature Materials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1476-1122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Nature Communications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2041-1723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Science Advances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2375-2548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color w:val="000000"/>
                <w:kern w:val="0"/>
                <w:sz w:val="21"/>
                <w:szCs w:val="21"/>
              </w:rPr>
              <w:t>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Proceedings of The National Academy of Sciences of The United States of America</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0027-8424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Annual Review of Earth and Planetary Sciences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0084-6597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标志</w:t>
            </w:r>
          </w:p>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期刊</w:t>
            </w:r>
          </w:p>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(B区)</w:t>
            </w:r>
          </w:p>
        </w:tc>
        <w:tc>
          <w:tcPr>
            <w:tcW w:w="318" w:type="pct"/>
            <w:vMerge w:val="restar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B</w:t>
            </w: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Reviews of Geophysics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8755-1209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Earth-Science Reviews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0012-8252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Geological Society of America Bulletin</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0016-7606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Geology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0091-7613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Earth and Planetary Science Letters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0012-821X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Geophysical Research Letters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0094-8276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Remote Sensing of Environment</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0034-4257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National Science Review</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2095-5138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Elements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1811-5209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Reviews in Mineralogy and Geochemistry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1529-6466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19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AngewandteChemie-International Edition</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1433-7851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the American Chemical Society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0002-7863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sz w:val="21"/>
                <w:szCs w:val="21"/>
              </w:rPr>
              <w:t>21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Nano Energy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2211-2855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Tectonics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0278-7407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Petrology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0022-3530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Geochimica Et Cosmochimica Acta</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0016-7037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American Mineralogists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0003-004X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Economic Geology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0361-0128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27</w:t>
            </w:r>
          </w:p>
        </w:tc>
        <w:tc>
          <w:tcPr>
            <w:tcW w:w="2977" w:type="pct"/>
            <w:tcBorders>
              <w:top w:val="single" w:color="auto" w:sz="4" w:space="0"/>
              <w:left w:val="single" w:color="auto" w:sz="4" w:space="0"/>
              <w:bottom w:val="single" w:color="auto" w:sz="4" w:space="0"/>
              <w:right w:val="single" w:color="auto" w:sz="4" w:space="0"/>
            </w:tcBorders>
            <w:noWrap/>
            <w:vAlign w:val="top"/>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Quaternary Science Reviews</w:t>
            </w:r>
          </w:p>
        </w:tc>
        <w:tc>
          <w:tcPr>
            <w:tcW w:w="736" w:type="pct"/>
            <w:tcBorders>
              <w:top w:val="single" w:color="auto" w:sz="4" w:space="0"/>
              <w:left w:val="single" w:color="auto" w:sz="4" w:space="0"/>
              <w:bottom w:val="single" w:color="auto" w:sz="4" w:space="0"/>
              <w:right w:val="single" w:color="auto" w:sz="4" w:space="0"/>
            </w:tcBorders>
            <w:noWrap w:val="0"/>
            <w:vAlign w:val="top"/>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0277-3791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28</w:t>
            </w:r>
          </w:p>
        </w:tc>
        <w:tc>
          <w:tcPr>
            <w:tcW w:w="2977" w:type="pct"/>
            <w:tcBorders>
              <w:top w:val="single" w:color="auto" w:sz="4" w:space="0"/>
              <w:left w:val="single" w:color="auto" w:sz="4" w:space="0"/>
              <w:bottom w:val="single" w:color="auto" w:sz="4" w:space="0"/>
              <w:right w:val="single" w:color="auto" w:sz="4" w:space="0"/>
            </w:tcBorders>
            <w:noWrap/>
            <w:vAlign w:val="top"/>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Palaeontology</w:t>
            </w:r>
          </w:p>
        </w:tc>
        <w:tc>
          <w:tcPr>
            <w:tcW w:w="736" w:type="pct"/>
            <w:tcBorders>
              <w:top w:val="single" w:color="auto" w:sz="4" w:space="0"/>
              <w:left w:val="single" w:color="auto" w:sz="4" w:space="0"/>
              <w:bottom w:val="single" w:color="auto" w:sz="4" w:space="0"/>
              <w:right w:val="single" w:color="auto" w:sz="4" w:space="0"/>
            </w:tcBorders>
            <w:noWrap w:val="0"/>
            <w:vAlign w:val="top"/>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0031-0239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29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Water Resources Research</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0043-1397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Environmental Science &amp; Technology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0013-936X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AAPG Bulletin</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0149-1423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highlight w:val="green"/>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highlight w:val="green"/>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Basin Research</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0950-091X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Geophysical Research-Atmospheres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2169-897X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Geophysical Research-Biogeosciences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2169-8953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Geophysical Research-Solid Earth</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2169-9313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Geophysical Research-Planets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2169-9097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37</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Geophysical Research-Oceans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2169-9275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38</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Journal of Geophysical Research-Earth Surface</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2169-9003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39</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IEEE Transactions on Power Electronics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0885-8993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highlight w:val="green"/>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highlight w:val="green"/>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SPE Journal</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1086-055X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Engineering Geology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0013-7952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Safety Science</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0925-7535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highlight w:val="red"/>
              </w:rPr>
            </w:pPr>
            <w:r>
              <w:rPr>
                <w:rFonts w:hint="eastAsia" w:ascii="仿宋" w:hAnsi="仿宋" w:eastAsia="仿宋" w:cs="仿宋"/>
                <w:color w:val="000000"/>
                <w:kern w:val="0"/>
                <w:sz w:val="21"/>
                <w:szCs w:val="21"/>
              </w:rPr>
              <w:t>International Journal of Mechanical Sciences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highlight w:val="red"/>
              </w:rPr>
            </w:pPr>
            <w:r>
              <w:rPr>
                <w:rFonts w:hint="eastAsia" w:ascii="仿宋" w:hAnsi="仿宋" w:eastAsia="仿宋" w:cs="仿宋"/>
                <w:color w:val="000000"/>
                <w:kern w:val="0"/>
                <w:sz w:val="21"/>
                <w:szCs w:val="21"/>
              </w:rPr>
              <w:t>0020-7403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sz w:val="21"/>
                <w:szCs w:val="21"/>
              </w:rPr>
            </w:pPr>
            <w:r>
              <w:rPr>
                <w:rFonts w:hint="eastAsia" w:ascii="仿宋" w:hAnsi="仿宋" w:eastAsia="仿宋" w:cs="仿宋"/>
                <w:sz w:val="21"/>
                <w:szCs w:val="21"/>
              </w:rPr>
              <w:t>Marine Geology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0025-3227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sz w:val="21"/>
                <w:szCs w:val="21"/>
              </w:rPr>
            </w:pPr>
            <w:r>
              <w:rPr>
                <w:rFonts w:hint="eastAsia" w:ascii="仿宋" w:hAnsi="仿宋" w:eastAsia="仿宋" w:cs="仿宋"/>
                <w:sz w:val="21"/>
                <w:szCs w:val="21"/>
              </w:rPr>
              <w:t>Marine Environmental Research</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0141-1136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46</w:t>
            </w:r>
          </w:p>
        </w:tc>
        <w:tc>
          <w:tcPr>
            <w:tcW w:w="2977"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left"/>
              <w:rPr>
                <w:rFonts w:hint="eastAsia" w:ascii="仿宋" w:hAnsi="仿宋" w:eastAsia="仿宋" w:cs="仿宋"/>
                <w:sz w:val="21"/>
                <w:szCs w:val="21"/>
              </w:rPr>
            </w:pPr>
            <w:r>
              <w:rPr>
                <w:rFonts w:hint="eastAsia" w:ascii="仿宋" w:hAnsi="仿宋" w:eastAsia="仿宋" w:cs="仿宋"/>
                <w:sz w:val="21"/>
                <w:szCs w:val="21"/>
              </w:rPr>
              <w:t>Journal of Geodesy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0949-7714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47</w:t>
            </w:r>
          </w:p>
        </w:tc>
        <w:tc>
          <w:tcPr>
            <w:tcW w:w="2977"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left"/>
              <w:rPr>
                <w:rFonts w:hint="eastAsia" w:ascii="仿宋" w:hAnsi="仿宋" w:eastAsia="仿宋" w:cs="仿宋"/>
                <w:sz w:val="21"/>
                <w:szCs w:val="21"/>
              </w:rPr>
            </w:pPr>
            <w:r>
              <w:rPr>
                <w:rFonts w:hint="eastAsia" w:ascii="仿宋" w:hAnsi="仿宋" w:eastAsia="仿宋" w:cs="仿宋"/>
                <w:sz w:val="21"/>
                <w:szCs w:val="21"/>
              </w:rPr>
              <w:t>Land Use Policy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0264-8377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48</w:t>
            </w:r>
          </w:p>
        </w:tc>
        <w:tc>
          <w:tcPr>
            <w:tcW w:w="2977"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IEEE Transactions On Geoscience and Remote Sensing</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0196-2892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49</w:t>
            </w:r>
          </w:p>
        </w:tc>
        <w:tc>
          <w:tcPr>
            <w:tcW w:w="2977"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Future Generation Computer Systems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0167-739X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50</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FF0000"/>
                <w:kern w:val="0"/>
                <w:sz w:val="21"/>
                <w:szCs w:val="21"/>
              </w:rPr>
            </w:pPr>
            <w:r>
              <w:rPr>
                <w:rFonts w:hint="eastAsia" w:ascii="仿宋" w:hAnsi="仿宋" w:eastAsia="仿宋" w:cs="仿宋"/>
                <w:kern w:val="0"/>
                <w:sz w:val="21"/>
                <w:szCs w:val="21"/>
              </w:rPr>
              <w:t>Crystal Growth &amp; Design</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1528-7483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51</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FF0000"/>
                <w:kern w:val="0"/>
                <w:sz w:val="21"/>
                <w:szCs w:val="21"/>
              </w:rPr>
            </w:pPr>
            <w:r>
              <w:rPr>
                <w:rFonts w:hint="eastAsia" w:ascii="仿宋" w:hAnsi="仿宋" w:eastAsia="仿宋" w:cs="仿宋"/>
                <w:kern w:val="0"/>
                <w:sz w:val="21"/>
                <w:szCs w:val="21"/>
              </w:rPr>
              <w:t>Journal of Materials Chemistry A</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2050-7488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52</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Advanced Functional Materials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1616-301X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53</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Gems &amp; gemology</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0016-626X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54</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Applied Mathematics Letters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0893-9659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55</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Applied Physics Letters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0003-6951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318" w:type="pct"/>
            <w:vMerge w:val="continue"/>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p>
        </w:tc>
        <w:tc>
          <w:tcPr>
            <w:tcW w:w="449" w:type="pct"/>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56</w:t>
            </w:r>
          </w:p>
        </w:tc>
        <w:tc>
          <w:tcPr>
            <w:tcW w:w="2977"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spacing w:line="276"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Chemical Communications</w:t>
            </w:r>
          </w:p>
        </w:tc>
        <w:tc>
          <w:tcPr>
            <w:tcW w:w="736" w:type="pct"/>
            <w:tcBorders>
              <w:top w:val="single" w:color="auto" w:sz="4" w:space="0"/>
              <w:left w:val="single" w:color="auto" w:sz="4" w:space="0"/>
              <w:bottom w:val="single" w:color="auto" w:sz="4" w:space="0"/>
              <w:right w:val="single" w:color="auto" w:sz="4" w:space="0"/>
            </w:tcBorders>
            <w:noWrap w:val="0"/>
            <w:vAlign w:val="center"/>
          </w:tcPr>
          <w:p>
            <w:pPr>
              <w:widowControl/>
              <w:tabs>
                <w:tab w:val="left" w:pos="0"/>
              </w:tabs>
              <w:spacing w:line="276"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1359-7345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6" w:type="pct"/>
            <w:gridSpan w:val="2"/>
            <w:tcBorders>
              <w:top w:val="single" w:color="auto" w:sz="4" w:space="0"/>
              <w:left w:val="single" w:color="auto" w:sz="4" w:space="0"/>
              <w:bottom w:val="single" w:color="auto" w:sz="4" w:space="0"/>
              <w:right w:val="single" w:color="auto" w:sz="4" w:space="0"/>
            </w:tcBorders>
            <w:noWrap w:val="0"/>
            <w:vAlign w:val="top"/>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（C区）</w:t>
            </w:r>
          </w:p>
        </w:tc>
        <w:tc>
          <w:tcPr>
            <w:tcW w:w="4163" w:type="pct"/>
            <w:gridSpan w:val="3"/>
            <w:tcBorders>
              <w:top w:val="single" w:color="auto" w:sz="4" w:space="0"/>
              <w:left w:val="single" w:color="auto" w:sz="4" w:space="0"/>
              <w:bottom w:val="single" w:color="auto" w:sz="4" w:space="0"/>
              <w:right w:val="single" w:color="auto" w:sz="4" w:space="0"/>
            </w:tcBorders>
            <w:noWrap w:val="0"/>
            <w:vAlign w:val="top"/>
          </w:tcPr>
          <w:p>
            <w:pPr>
              <w:tabs>
                <w:tab w:val="left" w:pos="0"/>
              </w:tabs>
              <w:spacing w:line="276" w:lineRule="auto"/>
              <w:jc w:val="left"/>
              <w:rPr>
                <w:rFonts w:hint="eastAsia" w:ascii="仿宋" w:hAnsi="仿宋" w:eastAsia="仿宋" w:cs="仿宋"/>
                <w:sz w:val="21"/>
                <w:szCs w:val="21"/>
              </w:rPr>
            </w:pPr>
            <w:r>
              <w:rPr>
                <w:rFonts w:hint="eastAsia" w:ascii="仿宋" w:hAnsi="仿宋" w:eastAsia="仿宋" w:cs="仿宋"/>
                <w:sz w:val="21"/>
                <w:szCs w:val="21"/>
              </w:rPr>
              <w:t>中国科学技术信息研究所JCR 1区的其他期刊上发表的英文SCI学术成果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36" w:type="pct"/>
            <w:gridSpan w:val="2"/>
            <w:tcBorders>
              <w:top w:val="single" w:color="auto" w:sz="4" w:space="0"/>
              <w:left w:val="single" w:color="auto" w:sz="4" w:space="0"/>
              <w:bottom w:val="single" w:color="auto" w:sz="4" w:space="0"/>
              <w:right w:val="single" w:color="auto" w:sz="4" w:space="0"/>
            </w:tcBorders>
            <w:noWrap w:val="0"/>
            <w:vAlign w:val="top"/>
          </w:tcPr>
          <w:p>
            <w:pPr>
              <w:tabs>
                <w:tab w:val="left" w:pos="0"/>
              </w:tabs>
              <w:spacing w:line="276" w:lineRule="auto"/>
              <w:jc w:val="center"/>
              <w:rPr>
                <w:rFonts w:hint="eastAsia" w:ascii="仿宋" w:hAnsi="仿宋" w:eastAsia="仿宋" w:cs="仿宋"/>
                <w:sz w:val="21"/>
                <w:szCs w:val="21"/>
              </w:rPr>
            </w:pPr>
            <w:r>
              <w:rPr>
                <w:rFonts w:hint="eastAsia" w:ascii="仿宋" w:hAnsi="仿宋" w:eastAsia="仿宋" w:cs="仿宋"/>
                <w:sz w:val="21"/>
                <w:szCs w:val="21"/>
              </w:rPr>
              <w:t>（D区）</w:t>
            </w:r>
          </w:p>
        </w:tc>
        <w:tc>
          <w:tcPr>
            <w:tcW w:w="4163" w:type="pct"/>
            <w:gridSpan w:val="3"/>
            <w:tcBorders>
              <w:top w:val="single" w:color="auto" w:sz="4" w:space="0"/>
              <w:left w:val="single" w:color="auto" w:sz="4" w:space="0"/>
              <w:bottom w:val="single" w:color="auto" w:sz="4" w:space="0"/>
              <w:right w:val="single" w:color="auto" w:sz="4" w:space="0"/>
            </w:tcBorders>
            <w:noWrap w:val="0"/>
            <w:vAlign w:val="top"/>
          </w:tcPr>
          <w:p>
            <w:pPr>
              <w:tabs>
                <w:tab w:val="left" w:pos="0"/>
              </w:tabs>
              <w:spacing w:line="276" w:lineRule="auto"/>
              <w:jc w:val="left"/>
              <w:rPr>
                <w:rFonts w:hint="eastAsia" w:ascii="仿宋" w:hAnsi="仿宋" w:eastAsia="仿宋" w:cs="仿宋"/>
                <w:sz w:val="21"/>
                <w:szCs w:val="21"/>
              </w:rPr>
            </w:pPr>
            <w:r>
              <w:rPr>
                <w:rFonts w:hint="eastAsia" w:ascii="仿宋" w:hAnsi="仿宋" w:eastAsia="仿宋" w:cs="仿宋"/>
                <w:sz w:val="21"/>
                <w:szCs w:val="21"/>
              </w:rPr>
              <w:t>中国科学技术信息研究所JCR 2区的其他期刊上发表的英文SCI学术成果</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default" w:ascii="仿宋" w:hAnsi="仿宋" w:eastAsia="仿宋" w:cs="仿宋"/>
          <w:b/>
          <w:bCs w:val="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sz w:val="24"/>
          <w:szCs w:val="24"/>
          <w:lang w:val="en-US" w:eastAsia="zh-CN"/>
        </w:rPr>
      </w:pPr>
      <w:r>
        <w:rPr>
          <w:rFonts w:hint="eastAsia" w:ascii="仿宋" w:hAnsi="仿宋" w:eastAsia="仿宋" w:cs="仿宋"/>
          <w:b/>
          <w:bCs w:val="0"/>
          <w:sz w:val="24"/>
          <w:szCs w:val="24"/>
          <w:highlight w:val="none"/>
          <w:lang w:val="en-US" w:eastAsia="zh-CN"/>
        </w:rPr>
        <w:t>附表4 学院榜刊：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Mineralium Deposita</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Journal of Structural Geology</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Sedimentology</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Contributions to Mineralo</w:t>
      </w:r>
      <w:bookmarkStart w:id="0" w:name="_GoBack"/>
      <w:bookmarkEnd w:id="0"/>
      <w:r>
        <w:rPr>
          <w:rFonts w:hint="eastAsia" w:ascii="仿宋" w:hAnsi="仿宋" w:eastAsia="仿宋" w:cs="仿宋"/>
          <w:sz w:val="21"/>
          <w:szCs w:val="21"/>
          <w:lang w:val="en-US" w:eastAsia="zh-CN"/>
        </w:rPr>
        <w:t>gy and Petrology</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line="400" w:lineRule="exact"/>
        <w:ind w:leftChars="0"/>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Geochemical Perspectives Letters</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line="400" w:lineRule="exact"/>
        <w:ind w:left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Computers &amp; Geosciences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Palaeogeograchy，Palaeoclimatology，Palaeoecology</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jc w:val="both"/>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Quaternary Research</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line="400" w:lineRule="exact"/>
        <w:ind w:leftChars="0"/>
        <w:jc w:val="both"/>
        <w:textAlignment w:val="auto"/>
        <w:rPr>
          <w:rFonts w:hint="default" w:ascii="仿宋" w:hAnsi="仿宋" w:eastAsia="仿宋" w:cs="仿宋"/>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default" w:ascii="仿宋" w:hAnsi="仿宋" w:eastAsia="仿宋" w:cs="仿宋"/>
          <w:sz w:val="28"/>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405FF2"/>
    <w:multiLevelType w:val="singleLevel"/>
    <w:tmpl w:val="8E405FF2"/>
    <w:lvl w:ilvl="0" w:tentative="0">
      <w:start w:val="1"/>
      <w:numFmt w:val="chineseCounting"/>
      <w:suff w:val="space"/>
      <w:lvlText w:val="第%1条"/>
      <w:lvlJc w:val="left"/>
      <w:rPr>
        <w:rFonts w:hint="eastAsia"/>
      </w:rPr>
    </w:lvl>
  </w:abstractNum>
  <w:abstractNum w:abstractNumId="1">
    <w:nsid w:val="AD6F3048"/>
    <w:multiLevelType w:val="singleLevel"/>
    <w:tmpl w:val="AD6F3048"/>
    <w:lvl w:ilvl="0" w:tentative="0">
      <w:start w:val="1"/>
      <w:numFmt w:val="decimal"/>
      <w:suff w:val="nothing"/>
      <w:lvlText w:val="（%1）"/>
      <w:lvlJc w:val="left"/>
      <w:rPr>
        <w:rFonts w:hint="default"/>
        <w:b w:val="0"/>
        <w:bCs w:val="0"/>
        <w:sz w:val="21"/>
        <w:szCs w:val="21"/>
      </w:rPr>
    </w:lvl>
  </w:abstractNum>
  <w:abstractNum w:abstractNumId="2">
    <w:nsid w:val="3C7E5F97"/>
    <w:multiLevelType w:val="singleLevel"/>
    <w:tmpl w:val="3C7E5F97"/>
    <w:lvl w:ilvl="0" w:tentative="0">
      <w:start w:val="1"/>
      <w:numFmt w:val="chineseCounting"/>
      <w:suff w:val="nothing"/>
      <w:lvlText w:val="（%1）"/>
      <w:lvlJc w:val="left"/>
      <w:rPr>
        <w:rFonts w:hint="eastAsia"/>
      </w:rPr>
    </w:lvl>
  </w:abstractNum>
  <w:abstractNum w:abstractNumId="3">
    <w:nsid w:val="40C6BC32"/>
    <w:multiLevelType w:val="singleLevel"/>
    <w:tmpl w:val="40C6BC32"/>
    <w:lvl w:ilvl="0" w:tentative="0">
      <w:start w:val="1"/>
      <w:numFmt w:val="chineseCounting"/>
      <w:suff w:val="nothing"/>
      <w:lvlText w:val="（%1）"/>
      <w:lvlJc w:val="left"/>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4B6"/>
    <w:rsid w:val="000279FB"/>
    <w:rsid w:val="00032F75"/>
    <w:rsid w:val="00075D59"/>
    <w:rsid w:val="000F65EC"/>
    <w:rsid w:val="00105BE1"/>
    <w:rsid w:val="0012129A"/>
    <w:rsid w:val="001A047A"/>
    <w:rsid w:val="001C095E"/>
    <w:rsid w:val="001D7A01"/>
    <w:rsid w:val="001E61C9"/>
    <w:rsid w:val="001E72C0"/>
    <w:rsid w:val="00213367"/>
    <w:rsid w:val="002A4BDC"/>
    <w:rsid w:val="002B15A1"/>
    <w:rsid w:val="002B2797"/>
    <w:rsid w:val="00317AD9"/>
    <w:rsid w:val="003414B6"/>
    <w:rsid w:val="00366390"/>
    <w:rsid w:val="00393525"/>
    <w:rsid w:val="003B27D4"/>
    <w:rsid w:val="003D2400"/>
    <w:rsid w:val="003D73F7"/>
    <w:rsid w:val="003E2320"/>
    <w:rsid w:val="00406AD2"/>
    <w:rsid w:val="00411044"/>
    <w:rsid w:val="004150FC"/>
    <w:rsid w:val="004378A4"/>
    <w:rsid w:val="0045746B"/>
    <w:rsid w:val="004700AF"/>
    <w:rsid w:val="004D1905"/>
    <w:rsid w:val="004D1AC1"/>
    <w:rsid w:val="00534E22"/>
    <w:rsid w:val="005502C9"/>
    <w:rsid w:val="00550F58"/>
    <w:rsid w:val="00570880"/>
    <w:rsid w:val="005801C6"/>
    <w:rsid w:val="005824EC"/>
    <w:rsid w:val="00584969"/>
    <w:rsid w:val="00594004"/>
    <w:rsid w:val="005C5ACF"/>
    <w:rsid w:val="005E5D0A"/>
    <w:rsid w:val="00601846"/>
    <w:rsid w:val="00625B64"/>
    <w:rsid w:val="00664FEC"/>
    <w:rsid w:val="00691F49"/>
    <w:rsid w:val="007237A4"/>
    <w:rsid w:val="0074474D"/>
    <w:rsid w:val="007A34C2"/>
    <w:rsid w:val="007A63EF"/>
    <w:rsid w:val="007D2EF9"/>
    <w:rsid w:val="007D44C9"/>
    <w:rsid w:val="007E0D73"/>
    <w:rsid w:val="00810575"/>
    <w:rsid w:val="00820A3B"/>
    <w:rsid w:val="00822434"/>
    <w:rsid w:val="00830DEB"/>
    <w:rsid w:val="00830F56"/>
    <w:rsid w:val="0084689B"/>
    <w:rsid w:val="00903DFB"/>
    <w:rsid w:val="00910AFD"/>
    <w:rsid w:val="00966A40"/>
    <w:rsid w:val="009D5FE4"/>
    <w:rsid w:val="009E687B"/>
    <w:rsid w:val="00A062A2"/>
    <w:rsid w:val="00A47633"/>
    <w:rsid w:val="00AD135F"/>
    <w:rsid w:val="00AF3ABD"/>
    <w:rsid w:val="00B3383A"/>
    <w:rsid w:val="00B366EA"/>
    <w:rsid w:val="00B63FFA"/>
    <w:rsid w:val="00B84296"/>
    <w:rsid w:val="00BB1C4E"/>
    <w:rsid w:val="00BC3912"/>
    <w:rsid w:val="00BC7813"/>
    <w:rsid w:val="00C004FD"/>
    <w:rsid w:val="00C26B4D"/>
    <w:rsid w:val="00C34127"/>
    <w:rsid w:val="00C36EDF"/>
    <w:rsid w:val="00C57F36"/>
    <w:rsid w:val="00C62AF8"/>
    <w:rsid w:val="00C6348D"/>
    <w:rsid w:val="00C65431"/>
    <w:rsid w:val="00C65A7F"/>
    <w:rsid w:val="00CB38AB"/>
    <w:rsid w:val="00D3167A"/>
    <w:rsid w:val="00D35B12"/>
    <w:rsid w:val="00D709C0"/>
    <w:rsid w:val="00DB2426"/>
    <w:rsid w:val="00DB3FD4"/>
    <w:rsid w:val="00DF5348"/>
    <w:rsid w:val="00E06F86"/>
    <w:rsid w:val="00E07DDB"/>
    <w:rsid w:val="00E15D93"/>
    <w:rsid w:val="00E327AD"/>
    <w:rsid w:val="00E472C2"/>
    <w:rsid w:val="00E66712"/>
    <w:rsid w:val="00EA028F"/>
    <w:rsid w:val="00EB4B05"/>
    <w:rsid w:val="00EE00CB"/>
    <w:rsid w:val="00F17802"/>
    <w:rsid w:val="00F23D4D"/>
    <w:rsid w:val="00F93FAF"/>
    <w:rsid w:val="00FB3D0E"/>
    <w:rsid w:val="00FB64E1"/>
    <w:rsid w:val="00FC3C28"/>
    <w:rsid w:val="00FD5F3F"/>
    <w:rsid w:val="00FE561E"/>
    <w:rsid w:val="00FF01DC"/>
    <w:rsid w:val="030B7ED4"/>
    <w:rsid w:val="07207E00"/>
    <w:rsid w:val="07AC1AA6"/>
    <w:rsid w:val="086A1157"/>
    <w:rsid w:val="0EC17E69"/>
    <w:rsid w:val="12580ADD"/>
    <w:rsid w:val="17E61127"/>
    <w:rsid w:val="18FD7FFD"/>
    <w:rsid w:val="217F4616"/>
    <w:rsid w:val="22011960"/>
    <w:rsid w:val="23463B60"/>
    <w:rsid w:val="2416682B"/>
    <w:rsid w:val="28C640C2"/>
    <w:rsid w:val="29761C61"/>
    <w:rsid w:val="2BAD5B8F"/>
    <w:rsid w:val="2CA96432"/>
    <w:rsid w:val="2DC25FE3"/>
    <w:rsid w:val="2E561646"/>
    <w:rsid w:val="315715BD"/>
    <w:rsid w:val="32B2290A"/>
    <w:rsid w:val="330A479D"/>
    <w:rsid w:val="3436465B"/>
    <w:rsid w:val="34BF55EB"/>
    <w:rsid w:val="356208B6"/>
    <w:rsid w:val="3BC741C5"/>
    <w:rsid w:val="3DB67E70"/>
    <w:rsid w:val="3E03254A"/>
    <w:rsid w:val="4188011D"/>
    <w:rsid w:val="42B022DB"/>
    <w:rsid w:val="4A09035E"/>
    <w:rsid w:val="4B0C57FA"/>
    <w:rsid w:val="4ED8208A"/>
    <w:rsid w:val="4FBF74DD"/>
    <w:rsid w:val="53E421E6"/>
    <w:rsid w:val="5AB24E1C"/>
    <w:rsid w:val="5BF631BC"/>
    <w:rsid w:val="5E2D006B"/>
    <w:rsid w:val="5E457680"/>
    <w:rsid w:val="5E8437FD"/>
    <w:rsid w:val="5F381505"/>
    <w:rsid w:val="65451E65"/>
    <w:rsid w:val="65B923AD"/>
    <w:rsid w:val="668E32C6"/>
    <w:rsid w:val="66D54B4C"/>
    <w:rsid w:val="69C044BE"/>
    <w:rsid w:val="6BB85B51"/>
    <w:rsid w:val="6C7F7629"/>
    <w:rsid w:val="6CC72155"/>
    <w:rsid w:val="70A715A8"/>
    <w:rsid w:val="70B25908"/>
    <w:rsid w:val="70B95743"/>
    <w:rsid w:val="77B530D1"/>
    <w:rsid w:val="7B54221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tabs>
        <w:tab w:val="left" w:pos="0"/>
      </w:tabs>
      <w:spacing w:line="640" w:lineRule="atLeast"/>
    </w:pPr>
    <w:rPr>
      <w:rFonts w:eastAsia="仿宋_GB2312"/>
      <w:sz w:val="32"/>
    </w:rPr>
  </w:style>
  <w:style w:type="paragraph" w:styleId="3">
    <w:name w:val="Balloon Text"/>
    <w:basedOn w:val="1"/>
    <w:link w:val="11"/>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 w:val="24"/>
    </w:rPr>
  </w:style>
  <w:style w:type="paragraph" w:customStyle="1" w:styleId="9">
    <w:name w:val=" Char"/>
    <w:basedOn w:val="1"/>
    <w:semiHidden/>
    <w:qFormat/>
    <w:uiPriority w:val="0"/>
    <w:pPr>
      <w:widowControl/>
      <w:ind w:firstLine="420" w:firstLineChars="200"/>
      <w:jc w:val="left"/>
    </w:pPr>
    <w:rPr>
      <w:rFonts w:hAnsi="宋体"/>
      <w:color w:val="000000"/>
      <w:lang w:bidi="he-IL"/>
    </w:rPr>
  </w:style>
  <w:style w:type="character" w:customStyle="1" w:styleId="10">
    <w:name w:val="页脚 Char"/>
    <w:link w:val="4"/>
    <w:qFormat/>
    <w:uiPriority w:val="0"/>
    <w:rPr>
      <w:kern w:val="2"/>
      <w:sz w:val="18"/>
      <w:szCs w:val="18"/>
    </w:rPr>
  </w:style>
  <w:style w:type="character" w:customStyle="1" w:styleId="11">
    <w:name w:val="批注框文本 Char"/>
    <w:link w:val="3"/>
    <w:qFormat/>
    <w:uiPriority w:val="0"/>
    <w:rPr>
      <w:kern w:val="2"/>
      <w:sz w:val="18"/>
      <w:szCs w:val="18"/>
    </w:rPr>
  </w:style>
  <w:style w:type="character" w:customStyle="1" w:styleId="12">
    <w:name w:val="页眉 Char"/>
    <w:link w:val="5"/>
    <w:qFormat/>
    <w:uiPriority w:val="0"/>
    <w:rPr>
      <w:kern w:val="2"/>
      <w:sz w:val="18"/>
      <w:szCs w:val="18"/>
    </w:rPr>
  </w:style>
  <w:style w:type="character" w:customStyle="1" w:styleId="13">
    <w:name w:val="apple-converted-space"/>
    <w:basedOn w:val="8"/>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3682</Words>
  <Characters>5641</Characters>
  <Lines>9</Lines>
  <Paragraphs>2</Paragraphs>
  <TotalTime>13</TotalTime>
  <ScaleCrop>false</ScaleCrop>
  <LinksUpToDate>false</LinksUpToDate>
  <CharactersWithSpaces>5883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2008-02-11T14:18:00Z</dcterms:created>
  <dc:creator>Administrator</dc:creator>
  <cp:lastModifiedBy>fuqin</cp:lastModifiedBy>
  <cp:lastPrinted>2021-12-29T02:51:00Z</cp:lastPrinted>
  <dcterms:modified xsi:type="dcterms:W3CDTF">2022-03-23T04:02:04Z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8C213950B4C54D9E9D8F4BDD9E404B85</vt:lpwstr>
  </property>
</Properties>
</file>