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0"/>
        </w:tabs>
        <w:adjustRightInd w:val="0"/>
        <w:snapToGrid w:val="0"/>
        <w:spacing w:line="580" w:lineRule="exact"/>
        <w:jc w:val="center"/>
        <w:rPr>
          <w:rFonts w:ascii="方正小标宋简体" w:hAnsi="宋体" w:eastAsia="方正小标宋简体"/>
          <w:bCs/>
          <w:sz w:val="36"/>
          <w:szCs w:val="36"/>
        </w:rPr>
      </w:pPr>
      <w:r>
        <w:rPr>
          <w:rFonts w:hint="eastAsia" w:ascii="方正小标宋简体" w:hAnsi="宋体" w:eastAsia="方正小标宋简体"/>
          <w:bCs/>
          <w:sz w:val="36"/>
          <w:szCs w:val="36"/>
        </w:rPr>
        <w:t>中国地质大学（北京）地球科学与资源学院</w:t>
      </w:r>
    </w:p>
    <w:p>
      <w:pPr>
        <w:tabs>
          <w:tab w:val="left" w:pos="0"/>
        </w:tabs>
        <w:adjustRightInd w:val="0"/>
        <w:snapToGrid w:val="0"/>
        <w:spacing w:line="580" w:lineRule="exact"/>
        <w:jc w:val="center"/>
        <w:rPr>
          <w:rFonts w:ascii="宋体" w:hAnsi="宋体" w:cs="宋体"/>
          <w:b/>
          <w:sz w:val="36"/>
          <w:szCs w:val="36"/>
        </w:rPr>
      </w:pPr>
      <w:r>
        <w:rPr>
          <w:rFonts w:hint="eastAsia" w:ascii="方正小标宋简体" w:hAnsi="宋体" w:eastAsia="方正小标宋简体"/>
          <w:bCs/>
          <w:sz w:val="36"/>
          <w:szCs w:val="36"/>
        </w:rPr>
        <w:t>研究生国家奖学金评选实施细则</w:t>
      </w:r>
    </w:p>
    <w:p>
      <w:pPr>
        <w:spacing w:line="460" w:lineRule="exact"/>
        <w:jc w:val="center"/>
        <w:rPr>
          <w:rFonts w:ascii="宋体" w:hAnsi="宋体" w:cs="宋体"/>
          <w:b/>
          <w:sz w:val="36"/>
          <w:szCs w:val="36"/>
        </w:rPr>
      </w:pPr>
    </w:p>
    <w:p>
      <w:pPr>
        <w:spacing w:before="156" w:beforeLines="50" w:after="156" w:afterLines="50" w:line="550" w:lineRule="exact"/>
        <w:jc w:val="center"/>
        <w:rPr>
          <w:rFonts w:ascii="黑体" w:hAnsi="黑体" w:eastAsia="黑体" w:cs="黑体"/>
          <w:b/>
          <w:sz w:val="28"/>
          <w:szCs w:val="28"/>
        </w:rPr>
      </w:pPr>
      <w:r>
        <w:rPr>
          <w:rFonts w:hint="eastAsia" w:ascii="黑体" w:hAnsi="黑体" w:eastAsia="黑体" w:cs="黑体"/>
          <w:bCs/>
          <w:sz w:val="28"/>
          <w:szCs w:val="28"/>
        </w:rPr>
        <w:t>第一章  总则</w:t>
      </w:r>
    </w:p>
    <w:p>
      <w:pPr>
        <w:numPr>
          <w:ilvl w:val="0"/>
          <w:numId w:val="1"/>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 xml:space="preserve"> 为进一步规范我院研究生国家奖学金评审工作，确保评审质量和评审结果的权威性，激励研究生勤奋学习、专心科研，</w:t>
      </w:r>
      <w:r>
        <w:rPr>
          <w:rFonts w:eastAsia="仿宋"/>
          <w:sz w:val="28"/>
          <w:szCs w:val="28"/>
        </w:rPr>
        <w:t>根据《中国地质大学（北京）研究生学业奖助学金管理办法》（中地大京发〔2018〕3号），《</w:t>
      </w:r>
      <w:r>
        <w:rPr>
          <w:rFonts w:hint="eastAsia" w:eastAsia="仿宋"/>
          <w:sz w:val="28"/>
          <w:szCs w:val="28"/>
        </w:rPr>
        <w:t>中国地质大学（北京）研究生科技创新基金管理办法》（中地大京发〔2021〕30号）</w:t>
      </w:r>
      <w:r>
        <w:rPr>
          <w:rFonts w:hint="eastAsia" w:ascii="仿宋" w:hAnsi="仿宋" w:eastAsia="仿宋" w:cs="仿宋"/>
          <w:bCs/>
          <w:sz w:val="28"/>
          <w:szCs w:val="28"/>
        </w:rPr>
        <w:t>文件精神，结合本学院实际情况，特制定《中国地质大学（北京）地球科学与资源学院研究生国家奖学金评选实施细则》。</w:t>
      </w:r>
    </w:p>
    <w:p>
      <w:pPr>
        <w:numPr>
          <w:ilvl w:val="0"/>
          <w:numId w:val="1"/>
        </w:numPr>
        <w:spacing w:before="156" w:beforeLines="50" w:after="156" w:afterLines="50" w:line="550" w:lineRule="exact"/>
        <w:ind w:firstLine="560" w:firstLineChars="200"/>
        <w:rPr>
          <w:rFonts w:ascii="仿宋" w:hAnsi="仿宋" w:eastAsia="仿宋" w:cs="仿宋"/>
          <w:bCs/>
          <w:sz w:val="28"/>
          <w:szCs w:val="28"/>
        </w:rPr>
      </w:pPr>
      <w:r>
        <w:rPr>
          <w:rFonts w:hint="eastAsia" w:ascii="仿宋_GB2312" w:eastAsia="仿宋_GB2312"/>
          <w:sz w:val="28"/>
          <w:szCs w:val="28"/>
        </w:rPr>
        <w:t xml:space="preserve"> 研究生国家奖学金用于奖励我院表现优异的全日制研究生（不含定向及委培研究生）。</w:t>
      </w:r>
    </w:p>
    <w:p>
      <w:pPr>
        <w:spacing w:before="156" w:beforeLines="50" w:after="156" w:afterLines="50" w:line="550" w:lineRule="exact"/>
        <w:jc w:val="center"/>
        <w:rPr>
          <w:rFonts w:ascii="仿宋" w:hAnsi="仿宋" w:eastAsia="仿宋" w:cs="仿宋"/>
          <w:bCs/>
          <w:sz w:val="28"/>
          <w:szCs w:val="28"/>
        </w:rPr>
      </w:pPr>
      <w:r>
        <w:rPr>
          <w:rFonts w:hint="eastAsia" w:ascii="黑体" w:hAnsi="黑体" w:eastAsia="黑体" w:cs="黑体"/>
          <w:bCs/>
          <w:sz w:val="28"/>
          <w:szCs w:val="28"/>
        </w:rPr>
        <w:t>第二章  奖励标准与评选条件</w:t>
      </w:r>
    </w:p>
    <w:p>
      <w:pPr>
        <w:numPr>
          <w:ilvl w:val="0"/>
          <w:numId w:val="1"/>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 xml:space="preserve"> 博士研究生国家奖学金奖励标准为每生每年3万元；硕士研究生国家奖学金奖励标准为每生每年2万元。</w:t>
      </w:r>
    </w:p>
    <w:p>
      <w:pPr>
        <w:numPr>
          <w:ilvl w:val="0"/>
          <w:numId w:val="1"/>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 xml:space="preserve"> 研究生国家奖学金的基本申请条件：</w:t>
      </w:r>
    </w:p>
    <w:p>
      <w:pPr>
        <w:numPr>
          <w:ilvl w:val="0"/>
          <w:numId w:val="2"/>
        </w:numPr>
        <w:spacing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具有中华人民共和国国籍；</w:t>
      </w:r>
    </w:p>
    <w:p>
      <w:pPr>
        <w:numPr>
          <w:ilvl w:val="0"/>
          <w:numId w:val="2"/>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热爱社会主义祖国，拥护中国共产党的领导；</w:t>
      </w:r>
    </w:p>
    <w:p>
      <w:pPr>
        <w:numPr>
          <w:ilvl w:val="0"/>
          <w:numId w:val="2"/>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遵守宪法和法律，遵守高等学校规章制度；</w:t>
      </w:r>
    </w:p>
    <w:p>
      <w:pPr>
        <w:numPr>
          <w:ilvl w:val="0"/>
          <w:numId w:val="2"/>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诚实守信，道德品质优良；</w:t>
      </w:r>
    </w:p>
    <w:p>
      <w:pPr>
        <w:numPr>
          <w:ilvl w:val="0"/>
          <w:numId w:val="2"/>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学习成绩优异，科研能力显著，发展潜力突出。</w:t>
      </w:r>
    </w:p>
    <w:p>
      <w:pPr>
        <w:numPr>
          <w:ilvl w:val="0"/>
          <w:numId w:val="1"/>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 xml:space="preserve"> 在符合基本条件的前提下，申请人还应满足以下具体条件：</w:t>
      </w:r>
    </w:p>
    <w:p>
      <w:p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（一）年级要求：在学制期限基本修业年限内，在校二年级以上（含二年级）的</w:t>
      </w:r>
      <w:r>
        <w:rPr>
          <w:rFonts w:hint="eastAsia" w:ascii="仿宋" w:hAnsi="仿宋" w:eastAsia="仿宋" w:cs="仿宋"/>
          <w:bCs/>
          <w:sz w:val="28"/>
          <w:szCs w:val="28"/>
        </w:rPr>
        <w:t>全日制</w:t>
      </w:r>
      <w:r>
        <w:rPr>
          <w:rFonts w:ascii="仿宋" w:hAnsi="仿宋" w:eastAsia="仿宋" w:cs="仿宋"/>
          <w:bCs/>
          <w:sz w:val="28"/>
          <w:szCs w:val="28"/>
        </w:rPr>
        <w:t>硕士、博士研究生（含直博生）。硕博连读博士阶段一年级学生也可参评。（不含定向及委培研究生）</w:t>
      </w:r>
    </w:p>
    <w:p>
      <w:p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（二）成绩要求：按规定完成课程学习，无补考科目，且学位必修课程成绩优良。</w:t>
      </w:r>
    </w:p>
    <w:p>
      <w:p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（三）科研成果要求：参评学年内（上一年度9月1日至当年8月31日）科研成果突出。</w:t>
      </w:r>
    </w:p>
    <w:p>
      <w:pPr>
        <w:numPr>
          <w:ilvl w:val="0"/>
          <w:numId w:val="1"/>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 xml:space="preserve"> 研究生出现以下任一情况，不具备当年研究生国家奖学金参评资格：</w:t>
      </w:r>
    </w:p>
    <w:p>
      <w:pPr>
        <w:numPr>
          <w:ilvl w:val="0"/>
          <w:numId w:val="3"/>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参评学年违反国家法律，校纪校规受到纪律处分者；</w:t>
      </w:r>
    </w:p>
    <w:p>
      <w:pPr>
        <w:numPr>
          <w:ilvl w:val="0"/>
          <w:numId w:val="3"/>
        </w:num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参评学年有抄袭剽窃、弄虚作假等学术不端行为经查证属实的；</w:t>
      </w:r>
    </w:p>
    <w:p>
      <w:pPr>
        <w:numPr>
          <w:ilvl w:val="0"/>
          <w:numId w:val="3"/>
        </w:num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参评学年学籍状态处于休学、保留学籍者。</w:t>
      </w:r>
    </w:p>
    <w:p>
      <w:p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第</w:t>
      </w:r>
      <w:r>
        <w:rPr>
          <w:rFonts w:hint="eastAsia" w:ascii="仿宋" w:hAnsi="仿宋" w:eastAsia="仿宋" w:cs="仿宋"/>
          <w:bCs/>
          <w:sz w:val="28"/>
          <w:szCs w:val="28"/>
        </w:rPr>
        <w:t>七</w:t>
      </w:r>
      <w:r>
        <w:rPr>
          <w:rFonts w:ascii="仿宋" w:hAnsi="仿宋" w:eastAsia="仿宋" w:cs="仿宋"/>
          <w:bCs/>
          <w:sz w:val="28"/>
          <w:szCs w:val="28"/>
        </w:rPr>
        <w:t xml:space="preserve">条 </w:t>
      </w:r>
      <w:r>
        <w:rPr>
          <w:rFonts w:hint="eastAsia" w:ascii="仿宋" w:hAnsi="仿宋" w:eastAsia="仿宋" w:cs="仿宋"/>
          <w:bCs/>
          <w:sz w:val="28"/>
          <w:szCs w:val="28"/>
        </w:rPr>
        <w:t xml:space="preserve"> </w:t>
      </w:r>
      <w:r>
        <w:rPr>
          <w:rFonts w:ascii="仿宋" w:hAnsi="仿宋" w:eastAsia="仿宋" w:cs="仿宋"/>
          <w:bCs/>
          <w:sz w:val="28"/>
          <w:szCs w:val="28"/>
        </w:rPr>
        <w:t>研究生在学制期限基本修业年限内可多次获得研究生国家奖学金</w:t>
      </w:r>
      <w:r>
        <w:rPr>
          <w:rFonts w:hint="eastAsia" w:ascii="仿宋" w:hAnsi="仿宋" w:eastAsia="仿宋" w:cs="仿宋"/>
          <w:bCs/>
          <w:sz w:val="28"/>
          <w:szCs w:val="28"/>
        </w:rPr>
        <w:t>，获奖成果不可重复申报使用。已作为支撑材料获评其他类别奖学金的科研成果，不得再作为同一参评学年内申报研究生国家奖学金的科研成果；已作为支撑材料获评当年度研究生国家奖学金的科研成果，不得再用于申请当年度和未来年度内的其他类别奖学金。</w:t>
      </w:r>
    </w:p>
    <w:p>
      <w:pPr>
        <w:spacing w:before="156" w:beforeLines="50" w:after="156" w:afterLines="50" w:line="550" w:lineRule="exact"/>
        <w:ind w:firstLine="560" w:firstLineChars="200"/>
        <w:rPr>
          <w:rFonts w:ascii="仿宋" w:hAnsi="仿宋" w:eastAsia="仿宋" w:cs="仿宋"/>
          <w:b/>
          <w:sz w:val="28"/>
          <w:szCs w:val="28"/>
        </w:rPr>
      </w:pPr>
      <w:r>
        <w:rPr>
          <w:rFonts w:ascii="仿宋" w:hAnsi="仿宋" w:eastAsia="仿宋" w:cs="仿宋"/>
          <w:bCs/>
          <w:sz w:val="28"/>
          <w:szCs w:val="28"/>
        </w:rPr>
        <w:t>第</w:t>
      </w:r>
      <w:r>
        <w:rPr>
          <w:rFonts w:hint="eastAsia" w:ascii="仿宋" w:hAnsi="仿宋" w:eastAsia="仿宋" w:cs="仿宋"/>
          <w:bCs/>
          <w:sz w:val="28"/>
          <w:szCs w:val="28"/>
        </w:rPr>
        <w:t>八</w:t>
      </w:r>
      <w:r>
        <w:rPr>
          <w:rFonts w:ascii="仿宋" w:hAnsi="仿宋" w:eastAsia="仿宋" w:cs="仿宋"/>
          <w:bCs/>
          <w:sz w:val="28"/>
          <w:szCs w:val="28"/>
        </w:rPr>
        <w:t xml:space="preserve">条 </w:t>
      </w:r>
      <w:r>
        <w:rPr>
          <w:rFonts w:hint="eastAsia" w:ascii="仿宋" w:hAnsi="仿宋" w:eastAsia="仿宋" w:cs="仿宋"/>
          <w:bCs/>
          <w:sz w:val="28"/>
          <w:szCs w:val="28"/>
        </w:rPr>
        <w:t xml:space="preserve"> </w:t>
      </w:r>
      <w:r>
        <w:rPr>
          <w:rFonts w:ascii="仿宋" w:hAnsi="仿宋" w:eastAsia="仿宋" w:cs="仿宋"/>
          <w:bCs/>
          <w:sz w:val="28"/>
          <w:szCs w:val="28"/>
        </w:rPr>
        <w:t>在学制期限基本修业年限内，因国家和单位公派出国留学或校际交流在境外学习的研究生，仍具备研究生国家奖学金参评资格；由于因私出国留学、疾病、创业等原因未在校学习的研究生，期间内原则上不具备研究生国家奖学金参评资格。</w:t>
      </w:r>
    </w:p>
    <w:p>
      <w:pPr>
        <w:spacing w:before="156" w:beforeLines="50" w:after="156" w:afterLines="50" w:line="550" w:lineRule="exact"/>
        <w:jc w:val="center"/>
        <w:rPr>
          <w:rFonts w:ascii="黑体" w:hAnsi="黑体" w:eastAsia="黑体" w:cs="黑体"/>
          <w:bCs/>
          <w:sz w:val="28"/>
          <w:szCs w:val="28"/>
        </w:rPr>
      </w:pPr>
      <w:r>
        <w:rPr>
          <w:rFonts w:hint="eastAsia" w:ascii="黑体" w:hAnsi="黑体" w:eastAsia="黑体" w:cs="黑体"/>
          <w:bCs/>
          <w:sz w:val="28"/>
          <w:szCs w:val="28"/>
        </w:rPr>
        <w:t>第三章 评审组织机构</w:t>
      </w:r>
    </w:p>
    <w:p>
      <w:p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第</w:t>
      </w:r>
      <w:r>
        <w:rPr>
          <w:rFonts w:hint="eastAsia" w:ascii="仿宋" w:hAnsi="仿宋" w:eastAsia="仿宋" w:cs="仿宋"/>
          <w:bCs/>
          <w:sz w:val="28"/>
          <w:szCs w:val="28"/>
        </w:rPr>
        <w:t>九</w:t>
      </w:r>
      <w:r>
        <w:rPr>
          <w:rFonts w:ascii="仿宋" w:hAnsi="仿宋" w:eastAsia="仿宋" w:cs="仿宋"/>
          <w:bCs/>
          <w:sz w:val="28"/>
          <w:szCs w:val="28"/>
        </w:rPr>
        <w:t xml:space="preserve">条 </w:t>
      </w:r>
      <w:r>
        <w:rPr>
          <w:rFonts w:hint="eastAsia" w:ascii="仿宋" w:hAnsi="仿宋" w:eastAsia="仿宋" w:cs="仿宋"/>
          <w:bCs/>
          <w:sz w:val="28"/>
          <w:szCs w:val="28"/>
        </w:rPr>
        <w:t xml:space="preserve"> 在学校国家奖助学金评审工作领导小组（以下简称领导小组）的领导下，地球科学与资源学院成立研究生国家奖学金评审委员会（以下简称评审委员会），负责本学院研究生国家奖学金的评审工作。</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评审委员会由地学院主要领导任主任委员，分管学生工作和研究生教学的领导、研究生教学秘书、研究生辅导员、研究生导师和研究生代表（未申报当年度国家奖学金）任委员。</w:t>
      </w:r>
    </w:p>
    <w:p>
      <w:pPr>
        <w:spacing w:before="156" w:beforeLines="50" w:after="156" w:afterLines="50" w:line="550" w:lineRule="exact"/>
        <w:ind w:firstLine="560" w:firstLineChars="200"/>
        <w:rPr>
          <w:rFonts w:ascii="仿宋" w:hAnsi="仿宋" w:eastAsia="仿宋" w:cs="仿宋"/>
          <w:bCs/>
          <w:sz w:val="28"/>
          <w:szCs w:val="28"/>
        </w:rPr>
      </w:pPr>
      <w:r>
        <w:rPr>
          <w:rFonts w:ascii="仿宋" w:hAnsi="仿宋" w:eastAsia="仿宋" w:cs="仿宋"/>
          <w:bCs/>
          <w:sz w:val="28"/>
          <w:szCs w:val="28"/>
        </w:rPr>
        <w:t>评审委员会下设办公室，设在学院学工组，负责组织、协调本学院的评审工作，办公室主任由学工组长兼任</w:t>
      </w:r>
      <w:r>
        <w:rPr>
          <w:rFonts w:hint="eastAsia" w:ascii="仿宋" w:hAnsi="仿宋" w:eastAsia="仿宋" w:cs="仿宋"/>
          <w:bCs/>
          <w:sz w:val="28"/>
          <w:szCs w:val="28"/>
        </w:rPr>
        <w:t>。</w:t>
      </w:r>
    </w:p>
    <w:p>
      <w:pPr>
        <w:spacing w:before="156" w:beforeLines="50" w:after="156" w:afterLines="50" w:line="550" w:lineRule="exact"/>
        <w:jc w:val="center"/>
        <w:rPr>
          <w:rFonts w:ascii="黑体" w:hAnsi="黑体" w:eastAsia="黑体" w:cs="黑体"/>
          <w:bCs/>
          <w:sz w:val="28"/>
          <w:szCs w:val="28"/>
        </w:rPr>
      </w:pPr>
      <w:r>
        <w:rPr>
          <w:rFonts w:hint="eastAsia" w:ascii="黑体" w:hAnsi="黑体" w:eastAsia="黑体" w:cs="黑体"/>
          <w:bCs/>
          <w:sz w:val="28"/>
          <w:szCs w:val="28"/>
        </w:rPr>
        <w:t>第四章 名额分配及评审指标体系</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第十条  研究生国家奖学金每学年评审一次，根据学校下发至我院的名额，秉持着公开、公平、公正、择优的原则，分别进行硕士生国家奖学金和博士生国家奖学金的等额评审。一经发现有弄虚作假者，取消当年所获研究生国家奖学金的资格。</w:t>
      </w:r>
    </w:p>
    <w:p>
      <w:pPr>
        <w:spacing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第十一条  评审指标体系</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硕士研究生国家奖学金和博士研究生国家奖学金分别建立不同的评审指标体系。</w:t>
      </w:r>
    </w:p>
    <w:p>
      <w:pPr>
        <w:spacing w:before="156" w:beforeLines="50" w:after="156" w:afterLines="50" w:line="550" w:lineRule="exact"/>
        <w:ind w:firstLine="562" w:firstLineChars="200"/>
        <w:rPr>
          <w:rFonts w:ascii="仿宋" w:hAnsi="仿宋" w:eastAsia="仿宋" w:cs="仿宋"/>
          <w:b/>
          <w:i/>
          <w:iCs/>
          <w:sz w:val="28"/>
          <w:szCs w:val="28"/>
        </w:rPr>
      </w:pPr>
      <w:r>
        <w:rPr>
          <w:rFonts w:hint="eastAsia" w:ascii="仿宋" w:hAnsi="仿宋" w:eastAsia="仿宋" w:cs="仿宋"/>
          <w:b/>
          <w:i/>
          <w:iCs/>
          <w:sz w:val="28"/>
          <w:szCs w:val="28"/>
        </w:rPr>
        <w:t>【硕士研究生】：</w:t>
      </w:r>
    </w:p>
    <w:p>
      <w:pPr>
        <w:spacing w:before="156" w:beforeLines="50" w:after="156" w:afterLines="50" w:line="550" w:lineRule="exact"/>
        <w:ind w:firstLine="570"/>
        <w:rPr>
          <w:rFonts w:ascii="仿宋" w:hAnsi="仿宋" w:eastAsia="仿宋" w:cs="仿宋"/>
          <w:bCs/>
          <w:sz w:val="28"/>
          <w:szCs w:val="28"/>
        </w:rPr>
      </w:pPr>
      <w:r>
        <w:rPr>
          <w:rFonts w:hint="eastAsia" w:ascii="仿宋" w:hAnsi="仿宋" w:eastAsia="仿宋" w:cs="仿宋"/>
          <w:bCs/>
          <w:sz w:val="28"/>
          <w:szCs w:val="28"/>
        </w:rPr>
        <w:t>硕士研究生国家奖学金评比综合考虑学位课成绩、科技论文发表和学生日常表现情况，具体分数计算办法见附表1：</w:t>
      </w:r>
    </w:p>
    <w:p>
      <w:pPr>
        <w:spacing w:before="156" w:beforeLines="50" w:after="156" w:afterLines="50" w:line="550" w:lineRule="exact"/>
        <w:ind w:firstLine="570"/>
        <w:rPr>
          <w:rFonts w:ascii="仿宋" w:hAnsi="仿宋" w:eastAsia="仿宋" w:cs="仿宋"/>
          <w:bCs/>
          <w:sz w:val="28"/>
          <w:szCs w:val="28"/>
        </w:rPr>
      </w:pPr>
      <w:r>
        <w:rPr>
          <w:rFonts w:hint="eastAsia" w:ascii="仿宋" w:hAnsi="仿宋" w:eastAsia="仿宋" w:cs="仿宋"/>
          <w:bCs/>
          <w:sz w:val="28"/>
          <w:szCs w:val="28"/>
        </w:rPr>
        <w:t>（一）测评总分计算办法</w:t>
      </w:r>
    </w:p>
    <w:p>
      <w:pPr>
        <w:spacing w:before="156" w:beforeLines="50" w:after="156" w:afterLines="50" w:line="550" w:lineRule="exact"/>
        <w:ind w:firstLine="570"/>
        <w:rPr>
          <w:rFonts w:ascii="仿宋" w:hAnsi="仿宋" w:eastAsia="仿宋" w:cs="仿宋"/>
          <w:bCs/>
          <w:sz w:val="28"/>
          <w:szCs w:val="28"/>
        </w:rPr>
      </w:pPr>
      <w:r>
        <w:rPr>
          <w:rFonts w:hint="eastAsia" w:ascii="仿宋" w:hAnsi="仿宋" w:eastAsia="仿宋" w:cs="仿宋"/>
          <w:bCs/>
          <w:sz w:val="28"/>
          <w:szCs w:val="28"/>
        </w:rPr>
        <w:t>测评总分=学位课成绩平均分×20% + 科技论文分数×70%+日常表现分数×10%</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（二）研究生科研论文经评审专家委员会审核后，根据测评总分依次排序，由评审专家委员会确定最终结果。</w:t>
      </w:r>
    </w:p>
    <w:p>
      <w:pPr>
        <w:spacing w:before="156" w:beforeLines="50" w:after="156" w:afterLines="50" w:line="550" w:lineRule="exact"/>
        <w:ind w:firstLine="570"/>
        <w:rPr>
          <w:rFonts w:ascii="仿宋" w:hAnsi="仿宋" w:eastAsia="仿宋" w:cs="仿宋"/>
          <w:b/>
          <w:i/>
          <w:iCs/>
          <w:sz w:val="28"/>
          <w:szCs w:val="28"/>
        </w:rPr>
      </w:pPr>
      <w:r>
        <w:rPr>
          <w:rFonts w:hint="eastAsia" w:ascii="仿宋" w:hAnsi="仿宋" w:eastAsia="仿宋" w:cs="仿宋"/>
          <w:b/>
          <w:i/>
          <w:iCs/>
          <w:sz w:val="28"/>
          <w:szCs w:val="28"/>
        </w:rPr>
        <w:t>【博士研究生】：</w:t>
      </w:r>
    </w:p>
    <w:p>
      <w:pPr>
        <w:spacing w:before="156" w:beforeLines="50" w:after="156" w:afterLines="50" w:line="550" w:lineRule="exact"/>
        <w:ind w:firstLine="570"/>
        <w:rPr>
          <w:rFonts w:ascii="仿宋" w:hAnsi="仿宋" w:eastAsia="仿宋" w:cs="仿宋"/>
          <w:bCs/>
          <w:sz w:val="28"/>
          <w:szCs w:val="28"/>
        </w:rPr>
      </w:pPr>
      <w:r>
        <w:rPr>
          <w:rFonts w:hint="eastAsia" w:ascii="仿宋" w:hAnsi="仿宋" w:eastAsia="仿宋" w:cs="仿宋"/>
          <w:bCs/>
          <w:sz w:val="28"/>
          <w:szCs w:val="28"/>
        </w:rPr>
        <w:t>博士研究生国家奖学金评比主要依据科技论文发表情况，成绩单、参加会议及日常表现等提交证明作为参考，具体分数计算办法见附表2。</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研究生科研论文经评审专家委员会最终确认后，根据测评总分依次排序，由评审专家委员会确定结果。</w:t>
      </w:r>
    </w:p>
    <w:p>
      <w:pPr>
        <w:spacing w:before="156" w:beforeLines="50" w:after="156" w:afterLines="50" w:line="550" w:lineRule="exact"/>
        <w:jc w:val="center"/>
        <w:rPr>
          <w:rFonts w:ascii="黑体" w:hAnsi="黑体" w:eastAsia="黑体" w:cs="黑体"/>
          <w:bCs/>
          <w:sz w:val="28"/>
          <w:szCs w:val="28"/>
        </w:rPr>
      </w:pPr>
      <w:r>
        <w:rPr>
          <w:rFonts w:hint="eastAsia" w:ascii="黑体" w:hAnsi="黑体" w:eastAsia="黑体" w:cs="黑体"/>
          <w:bCs/>
          <w:sz w:val="28"/>
          <w:szCs w:val="28"/>
        </w:rPr>
        <w:t>第五章  评审程序及要求</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第十二条  凡符合上述第四条基本申请条件和第五条具体条件的学生，均可向本学院提出书面申请。</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第十三条  评审程序</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（一）研究生本人自愿提出申请：</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博士生填写研究生国家奖学金申请审批表、获奖研究生科研成果汇总表、博士研究生国家奖学金学院汇总表，硕士生填写研究生国家奖学金申请审批表、获奖研究生科研成果汇总表、硕士研究生国家奖学金学院汇总表。</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二）符合申请条件的研究生在规定时间内提交要参评的所有材料。所需材料包括：《研究生国家奖学金申请审批表》（纸质）；获奖研究生科研成果汇总表（电子）；博士或硕士研究生国家奖学金学院汇总表（电子）；课程学习成绩单；学术论文、专利等科研成果有关证明材料；发表论文的有效检索证明[材料缺损不接收，其中论文只需提供本人为第一作者且所属单位为中国地质大学（北京）的即可，其他无需提供]。</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（三）地学院学工组对申请材料进行初审。</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（四）地学院研究生国家奖学金评审委员会根据学校下达的指标，对申请者进行评选，经集体充分讨论后确定拟推荐名单，学院初评结果将在地学院网站上公示5个工作日。</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（五）如在公示中无异议，学院将拟推荐名单报送至党委学生工作部（处）。</w:t>
      </w:r>
    </w:p>
    <w:p>
      <w:p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第十四条  对研究生国家奖学金评审结果有异议的学生，可在学院公示阶段向地学院研究生国家奖学金评审委员会提出书面申诉，接受申诉后，评审委员会应及时研究并予以答复。如学生对学院作出的答复仍存在异议，可在学校公示阶段向学校国家奖助学金评审工作领导小组提请裁决。</w:t>
      </w:r>
    </w:p>
    <w:p>
      <w:pPr>
        <w:spacing w:before="156" w:beforeLines="50" w:after="156" w:afterLines="50" w:line="550" w:lineRule="exact"/>
        <w:ind w:firstLine="570"/>
        <w:rPr>
          <w:rFonts w:ascii="仿宋" w:hAnsi="仿宋" w:eastAsia="仿宋" w:cs="仿宋"/>
          <w:sz w:val="28"/>
        </w:rPr>
      </w:pPr>
      <w:r>
        <w:rPr>
          <w:rFonts w:hint="eastAsia" w:ascii="仿宋" w:hAnsi="仿宋" w:eastAsia="仿宋" w:cs="仿宋"/>
          <w:sz w:val="28"/>
        </w:rPr>
        <w:t>第十五条  本细则于2022年3月1日经地球科学与资源学院研究生</w:t>
      </w:r>
      <w:r>
        <w:rPr>
          <w:rFonts w:hint="eastAsia" w:ascii="仿宋" w:hAnsi="仿宋" w:eastAsia="仿宋" w:cs="仿宋"/>
          <w:bCs/>
          <w:sz w:val="28"/>
          <w:szCs w:val="28"/>
        </w:rPr>
        <w:t>国家奖学金</w:t>
      </w:r>
      <w:r>
        <w:rPr>
          <w:rFonts w:hint="eastAsia" w:ascii="仿宋" w:hAnsi="仿宋" w:eastAsia="仿宋" w:cs="仿宋"/>
          <w:sz w:val="28"/>
        </w:rPr>
        <w:t>评审委员会审议通过，由评审委员会负责解释。</w:t>
      </w:r>
    </w:p>
    <w:p>
      <w:pPr>
        <w:spacing w:before="156" w:beforeLines="50" w:after="156" w:afterLines="50" w:line="550" w:lineRule="exact"/>
        <w:jc w:val="right"/>
        <w:rPr>
          <w:rFonts w:ascii="仿宋" w:hAnsi="仿宋" w:eastAsia="仿宋" w:cs="仿宋"/>
          <w:sz w:val="28"/>
        </w:rPr>
      </w:pPr>
      <w:r>
        <w:rPr>
          <w:rFonts w:hint="eastAsia" w:ascii="仿宋" w:hAnsi="仿宋" w:eastAsia="仿宋" w:cs="仿宋"/>
          <w:sz w:val="28"/>
        </w:rPr>
        <w:t>中国地质大学（北京）地球科学与资源学院</w:t>
      </w:r>
    </w:p>
    <w:p>
      <w:pPr>
        <w:spacing w:before="156" w:beforeLines="50" w:after="156" w:afterLines="50" w:line="550" w:lineRule="exact"/>
        <w:ind w:firstLine="570"/>
        <w:jc w:val="center"/>
        <w:rPr>
          <w:rFonts w:ascii="仿宋" w:hAnsi="仿宋" w:eastAsia="仿宋" w:cs="仿宋"/>
          <w:sz w:val="28"/>
        </w:rPr>
      </w:pPr>
      <w:r>
        <w:rPr>
          <w:rFonts w:hint="eastAsia" w:ascii="仿宋" w:hAnsi="仿宋" w:eastAsia="仿宋" w:cs="仿宋"/>
          <w:sz w:val="28"/>
        </w:rPr>
        <w:t xml:space="preserve">                   研究生国家奖学金评审委员会   </w:t>
      </w:r>
    </w:p>
    <w:p>
      <w:pPr>
        <w:spacing w:before="156" w:beforeLines="50" w:after="156" w:afterLines="50" w:line="550" w:lineRule="exact"/>
        <w:ind w:firstLine="570"/>
        <w:jc w:val="center"/>
        <w:rPr>
          <w:rFonts w:ascii="仿宋" w:hAnsi="仿宋" w:eastAsia="仿宋" w:cs="仿宋"/>
          <w:sz w:val="28"/>
        </w:rPr>
      </w:pPr>
      <w:r>
        <w:rPr>
          <w:rFonts w:hint="eastAsia" w:ascii="仿宋" w:hAnsi="仿宋" w:eastAsia="仿宋" w:cs="仿宋"/>
          <w:sz w:val="28"/>
        </w:rPr>
        <w:t xml:space="preserve">                    2022年9月      </w:t>
      </w:r>
      <w:bookmarkStart w:id="0" w:name="_GoBack"/>
      <w:bookmarkEnd w:id="0"/>
      <w:r>
        <w:rPr>
          <w:rFonts w:hint="eastAsia" w:ascii="仿宋" w:hAnsi="仿宋" w:eastAsia="仿宋" w:cs="仿宋"/>
          <w:sz w:val="28"/>
        </w:rPr>
        <w:t xml:space="preserve">              </w:t>
      </w:r>
    </w:p>
    <w:p>
      <w:pPr>
        <w:rPr>
          <w:rFonts w:ascii="仿宋" w:hAnsi="仿宋" w:eastAsia="仿宋" w:cs="仿宋"/>
          <w:b/>
          <w:sz w:val="28"/>
          <w:szCs w:val="28"/>
        </w:rPr>
      </w:pPr>
      <w:r>
        <w:rPr>
          <w:rFonts w:hint="eastAsia" w:ascii="仿宋" w:hAnsi="仿宋" w:eastAsia="仿宋" w:cs="仿宋"/>
          <w:b/>
          <w:sz w:val="28"/>
          <w:szCs w:val="28"/>
        </w:rPr>
        <w:br w:type="page"/>
      </w:r>
    </w:p>
    <w:p>
      <w:pPr>
        <w:spacing w:before="156" w:beforeLines="50" w:after="156" w:afterLines="50" w:line="550" w:lineRule="exact"/>
        <w:rPr>
          <w:rFonts w:ascii="仿宋" w:hAnsi="仿宋" w:eastAsia="仿宋" w:cs="仿宋"/>
          <w:b/>
          <w:sz w:val="24"/>
        </w:rPr>
      </w:pPr>
      <w:r>
        <w:rPr>
          <w:rFonts w:hint="eastAsia" w:ascii="仿宋" w:hAnsi="仿宋" w:eastAsia="仿宋" w:cs="仿宋"/>
          <w:b/>
          <w:sz w:val="24"/>
        </w:rPr>
        <w:t>附表1（硕士研究生）：</w:t>
      </w:r>
    </w:p>
    <w:tbl>
      <w:tblPr>
        <w:tblStyle w:val="7"/>
        <w:tblW w:w="5396" w:type="pct"/>
        <w:jc w:val="center"/>
        <w:tblLayout w:type="autofit"/>
        <w:tblCellMar>
          <w:top w:w="0" w:type="dxa"/>
          <w:left w:w="0" w:type="dxa"/>
          <w:bottom w:w="0" w:type="dxa"/>
          <w:right w:w="0" w:type="dxa"/>
        </w:tblCellMar>
      </w:tblPr>
      <w:tblGrid>
        <w:gridCol w:w="759"/>
        <w:gridCol w:w="577"/>
        <w:gridCol w:w="1669"/>
        <w:gridCol w:w="5384"/>
        <w:gridCol w:w="601"/>
      </w:tblGrid>
      <w:tr>
        <w:tblPrEx>
          <w:tblCellMar>
            <w:top w:w="0" w:type="dxa"/>
            <w:left w:w="0" w:type="dxa"/>
            <w:bottom w:w="0" w:type="dxa"/>
            <w:right w:w="0" w:type="dxa"/>
          </w:tblCellMar>
        </w:tblPrEx>
        <w:trPr>
          <w:trHeight w:val="256" w:hRule="atLeast"/>
          <w:jc w:val="center"/>
        </w:trPr>
        <w:tc>
          <w:tcPr>
            <w:tcW w:w="743" w:type="pct"/>
            <w:gridSpan w:val="2"/>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kern w:val="0"/>
                <w:szCs w:val="21"/>
              </w:rPr>
            </w:pPr>
            <w:r>
              <w:rPr>
                <w:rFonts w:hint="eastAsia" w:ascii="仿宋" w:hAnsi="仿宋" w:eastAsia="仿宋" w:cs="仿宋"/>
                <w:b/>
                <w:bCs/>
                <w:kern w:val="0"/>
                <w:szCs w:val="21"/>
              </w:rPr>
              <w:t>成果分类</w:t>
            </w:r>
          </w:p>
        </w:tc>
        <w:tc>
          <w:tcPr>
            <w:tcW w:w="3922" w:type="pct"/>
            <w:gridSpan w:val="2"/>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kern w:val="0"/>
                <w:szCs w:val="21"/>
              </w:rPr>
            </w:pPr>
            <w:r>
              <w:rPr>
                <w:rFonts w:hint="eastAsia" w:ascii="仿宋" w:hAnsi="仿宋" w:eastAsia="仿宋" w:cs="仿宋"/>
                <w:b/>
                <w:bCs/>
                <w:kern w:val="0"/>
                <w:szCs w:val="21"/>
              </w:rPr>
              <w:t>项目</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kern w:val="0"/>
                <w:szCs w:val="21"/>
              </w:rPr>
            </w:pPr>
            <w:r>
              <w:rPr>
                <w:rFonts w:hint="eastAsia" w:ascii="仿宋" w:hAnsi="仿宋" w:eastAsia="仿宋" w:cs="仿宋"/>
                <w:b/>
                <w:bCs/>
                <w:kern w:val="0"/>
                <w:szCs w:val="21"/>
              </w:rPr>
              <w:t>分值</w:t>
            </w:r>
          </w:p>
        </w:tc>
      </w:tr>
      <w:tr>
        <w:tblPrEx>
          <w:tblCellMar>
            <w:top w:w="0" w:type="dxa"/>
            <w:left w:w="0" w:type="dxa"/>
            <w:bottom w:w="0" w:type="dxa"/>
            <w:right w:w="0" w:type="dxa"/>
          </w:tblCellMar>
        </w:tblPrEx>
        <w:trPr>
          <w:trHeight w:val="256" w:hRule="atLeast"/>
          <w:jc w:val="center"/>
        </w:trPr>
        <w:tc>
          <w:tcPr>
            <w:tcW w:w="422" w:type="pct"/>
            <w:tcBorders>
              <w:top w:val="single" w:color="auto" w:sz="4" w:space="0"/>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Cs/>
                <w:szCs w:val="21"/>
              </w:rPr>
            </w:pPr>
            <w:r>
              <w:rPr>
                <w:rFonts w:hint="eastAsia" w:ascii="仿宋" w:hAnsi="仿宋" w:eastAsia="仿宋" w:cs="仿宋"/>
                <w:bCs/>
                <w:szCs w:val="21"/>
              </w:rPr>
              <w:t>学位课成绩（20%）</w:t>
            </w:r>
          </w:p>
        </w:tc>
        <w:tc>
          <w:tcPr>
            <w:tcW w:w="320" w:type="pct"/>
            <w:tcBorders>
              <w:top w:val="single" w:color="auto"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公共</w:t>
            </w: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学位课、专业学位课</w:t>
            </w:r>
          </w:p>
        </w:tc>
        <w:tc>
          <w:tcPr>
            <w:tcW w:w="3922" w:type="pct"/>
            <w:gridSpan w:val="2"/>
            <w:tcBorders>
              <w:top w:val="single" w:color="auto" w:sz="4" w:space="0"/>
              <w:left w:val="single" w:color="000000" w:sz="4" w:space="0"/>
              <w:bottom w:val="single" w:color="auto" w:sz="4" w:space="0"/>
              <w:right w:val="single" w:color="auto" w:sz="4" w:space="0"/>
            </w:tcBorders>
            <w:shd w:val="clear" w:color="auto" w:fill="auto"/>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szCs w:val="21"/>
              </w:rPr>
            </w:pPr>
            <w:r>
              <w:rPr>
                <w:rFonts w:hint="eastAsia" w:ascii="仿宋" w:hAnsi="仿宋" w:eastAsia="仿宋" w:cs="仿宋"/>
                <w:bCs/>
                <w:szCs w:val="21"/>
              </w:rPr>
              <w:t>截止当年申报研究生国家奖学金之日所获得公共学位课、专业学位课成绩的加权平均分</w:t>
            </w:r>
          </w:p>
        </w:tc>
        <w:tc>
          <w:tcPr>
            <w:tcW w:w="334"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r>
      <w:tr>
        <w:tblPrEx>
          <w:tblCellMar>
            <w:top w:w="0" w:type="dxa"/>
            <w:left w:w="0" w:type="dxa"/>
            <w:bottom w:w="0" w:type="dxa"/>
            <w:right w:w="0" w:type="dxa"/>
          </w:tblCellMar>
        </w:tblPrEx>
        <w:trPr>
          <w:trHeight w:val="256" w:hRule="atLeast"/>
          <w:jc w:val="center"/>
        </w:trPr>
        <w:tc>
          <w:tcPr>
            <w:tcW w:w="422" w:type="pct"/>
            <w:vMerge w:val="restart"/>
            <w:tcBorders>
              <w:top w:val="single" w:color="auto"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学术</w:t>
            </w: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成果</w:t>
            </w: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（70%）</w:t>
            </w:r>
          </w:p>
          <w:p>
            <w:pPr>
              <w:spacing w:before="156" w:beforeLines="50" w:after="156" w:afterLines="50" w:line="550" w:lineRule="exact"/>
              <w:rPr>
                <w:rFonts w:ascii="仿宋" w:hAnsi="仿宋" w:eastAsia="仿宋" w:cs="仿宋"/>
                <w:kern w:val="0"/>
                <w:szCs w:val="21"/>
              </w:rPr>
            </w:pPr>
          </w:p>
        </w:tc>
        <w:tc>
          <w:tcPr>
            <w:tcW w:w="320" w:type="pct"/>
            <w:vMerge w:val="restart"/>
            <w:tcBorders>
              <w:top w:val="single" w:color="auto"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学术</w:t>
            </w: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论文和</w:t>
            </w:r>
          </w:p>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专著等</w:t>
            </w:r>
          </w:p>
        </w:tc>
        <w:tc>
          <w:tcPr>
            <w:tcW w:w="928" w:type="pct"/>
            <w:vMerge w:val="restart"/>
            <w:tcBorders>
              <w:top w:val="single" w:color="auto"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标志性期刊论文</w:t>
            </w:r>
          </w:p>
        </w:tc>
        <w:tc>
          <w:tcPr>
            <w:tcW w:w="2994" w:type="pct"/>
            <w:tcBorders>
              <w:top w:val="single" w:color="auto"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标志性期刊目录A区论文</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600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标志性期刊目录B区论文</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300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color w:val="000000"/>
                <w:szCs w:val="21"/>
              </w:rPr>
            </w:pPr>
            <w:r>
              <w:rPr>
                <w:rFonts w:hint="eastAsia" w:ascii="仿宋" w:hAnsi="仿宋" w:eastAsia="仿宋" w:cs="仿宋"/>
                <w:color w:val="000000"/>
                <w:szCs w:val="21"/>
              </w:rPr>
              <w:t>学院榜刊</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200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标志性期刊目录C区论文（Q1）</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标志性期刊目录D区论文（Q2）</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35</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restar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其他期刊论文</w:t>
            </w: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color w:val="000000"/>
                <w:szCs w:val="21"/>
              </w:rPr>
            </w:pPr>
            <w:r>
              <w:rPr>
                <w:rFonts w:hint="eastAsia" w:ascii="仿宋" w:hAnsi="仿宋" w:eastAsia="仿宋" w:cs="仿宋"/>
                <w:color w:val="000000"/>
                <w:szCs w:val="21"/>
              </w:rPr>
              <w:t>在除上述之外的其他期刊上发表的SCI/SSCI学术成果</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20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中文SCI</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15</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kern w:val="0"/>
                <w:szCs w:val="21"/>
              </w:rPr>
              <w:t>中文卓越期刊目录论文</w:t>
            </w:r>
            <w:r>
              <w:rPr>
                <w:rFonts w:hint="eastAsia" w:ascii="仿宋" w:hAnsi="仿宋" w:eastAsia="仿宋" w:cs="仿宋"/>
                <w:bCs/>
                <w:szCs w:val="21"/>
              </w:rPr>
              <w:t>/EI、ISTP检索论文</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专著</w:t>
            </w: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kern w:val="0"/>
                <w:szCs w:val="21"/>
              </w:rPr>
              <w:t>中、英文学术第一作者</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300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科技成果奖</w:t>
            </w: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省部级以上科技成果奖（国家级前十，省部级前五）</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100</w:t>
            </w:r>
          </w:p>
        </w:tc>
      </w:tr>
      <w:tr>
        <w:tblPrEx>
          <w:tblCellMar>
            <w:top w:w="0" w:type="dxa"/>
            <w:left w:w="0" w:type="dxa"/>
            <w:bottom w:w="0" w:type="dxa"/>
            <w:right w:w="0" w:type="dxa"/>
          </w:tblCellMar>
        </w:tblPrEx>
        <w:trPr>
          <w:trHeight w:val="439"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国家发明专利</w:t>
            </w: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已授权第一人</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35</w:t>
            </w:r>
          </w:p>
        </w:tc>
      </w:tr>
      <w:tr>
        <w:tblPrEx>
          <w:tblCellMar>
            <w:top w:w="0" w:type="dxa"/>
            <w:left w:w="0" w:type="dxa"/>
            <w:bottom w:w="0" w:type="dxa"/>
            <w:right w:w="0" w:type="dxa"/>
          </w:tblCellMar>
        </w:tblPrEx>
        <w:trPr>
          <w:trHeight w:val="439"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28" w:type="pc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实用新型</w:t>
            </w: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软件著作权</w:t>
            </w:r>
          </w:p>
        </w:tc>
        <w:tc>
          <w:tcPr>
            <w:tcW w:w="2994" w:type="pc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已授权第一人</w:t>
            </w:r>
          </w:p>
        </w:tc>
        <w:tc>
          <w:tcPr>
            <w:tcW w:w="334" w:type="pc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15</w:t>
            </w:r>
          </w:p>
        </w:tc>
      </w:tr>
      <w:tr>
        <w:tblPrEx>
          <w:tblCellMar>
            <w:top w:w="0" w:type="dxa"/>
            <w:left w:w="0" w:type="dxa"/>
            <w:bottom w:w="0" w:type="dxa"/>
            <w:right w:w="0" w:type="dxa"/>
          </w:tblCellMar>
        </w:tblPrEx>
        <w:trPr>
          <w:trHeight w:val="708" w:hRule="atLeast"/>
          <w:jc w:val="center"/>
        </w:trPr>
        <w:tc>
          <w:tcPr>
            <w:tcW w:w="422" w:type="pct"/>
            <w:vMerge w:val="restart"/>
            <w:tcBorders>
              <w:top w:val="single" w:color="auto" w:sz="4" w:space="0"/>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日常</w:t>
            </w:r>
          </w:p>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表现</w:t>
            </w:r>
          </w:p>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（10%）</w:t>
            </w:r>
          </w:p>
          <w:p>
            <w:pPr>
              <w:spacing w:before="156" w:beforeLines="50" w:after="156" w:afterLines="50" w:line="550" w:lineRule="exact"/>
              <w:jc w:val="left"/>
              <w:rPr>
                <w:rFonts w:ascii="仿宋" w:hAnsi="仿宋" w:eastAsia="仿宋" w:cs="仿宋"/>
                <w:color w:val="000000" w:themeColor="text1"/>
                <w:szCs w:val="21"/>
                <w14:textFill>
                  <w14:solidFill>
                    <w14:schemeClr w14:val="tx1"/>
                  </w14:solidFill>
                </w14:textFill>
              </w:rPr>
            </w:pPr>
          </w:p>
        </w:tc>
        <w:tc>
          <w:tcPr>
            <w:tcW w:w="320" w:type="pct"/>
            <w:vMerge w:val="restart"/>
            <w:tcBorders>
              <w:top w:val="single" w:color="auto" w:sz="4" w:space="0"/>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kern w:val="0"/>
                <w:sz w:val="24"/>
              </w:rPr>
            </w:pPr>
            <w:r>
              <w:rPr>
                <w:rFonts w:hint="eastAsia" w:ascii="仿宋" w:hAnsi="仿宋" w:eastAsia="仿宋" w:cs="仿宋"/>
                <w:kern w:val="0"/>
                <w:szCs w:val="21"/>
              </w:rPr>
              <w:t>学术报告</w:t>
            </w:r>
          </w:p>
        </w:tc>
        <w:tc>
          <w:tcPr>
            <w:tcW w:w="3922" w:type="pct"/>
            <w:gridSpan w:val="2"/>
            <w:tcBorders>
              <w:top w:val="single" w:color="000000" w:sz="4" w:space="0"/>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上一学年参加校级以上学术会议并做口头报告</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50</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spacing w:before="156" w:beforeLines="50" w:after="156" w:afterLines="50" w:line="550" w:lineRule="exact"/>
              <w:jc w:val="left"/>
              <w:rPr>
                <w:rFonts w:ascii="仿宋" w:hAnsi="仿宋" w:eastAsia="仿宋" w:cs="仿宋"/>
                <w:color w:val="000000" w:themeColor="text1"/>
                <w:szCs w:val="21"/>
                <w14:textFill>
                  <w14:solidFill>
                    <w14:schemeClr w14:val="tx1"/>
                  </w14:solidFill>
                </w14:textFill>
              </w:rPr>
            </w:pPr>
          </w:p>
        </w:tc>
        <w:tc>
          <w:tcPr>
            <w:tcW w:w="320" w:type="pct"/>
            <w:vMerge w:val="continue"/>
            <w:tcBorders>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kern w:val="0"/>
                <w:szCs w:val="21"/>
              </w:rPr>
            </w:pPr>
          </w:p>
        </w:tc>
        <w:tc>
          <w:tcPr>
            <w:tcW w:w="3922" w:type="pct"/>
            <w:gridSpan w:val="2"/>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上一学年参加校级学术会议并做口头报告</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25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spacing w:before="156" w:beforeLines="50" w:after="156" w:afterLines="50" w:line="550" w:lineRule="exact"/>
              <w:jc w:val="left"/>
              <w:rPr>
                <w:rFonts w:ascii="仿宋" w:hAnsi="仿宋" w:eastAsia="仿宋" w:cs="仿宋"/>
                <w:color w:val="000000" w:themeColor="text1"/>
                <w:szCs w:val="21"/>
                <w14:textFill>
                  <w14:solidFill>
                    <w14:schemeClr w14:val="tx1"/>
                  </w14:solidFill>
                </w14:textFill>
              </w:rPr>
            </w:pPr>
          </w:p>
        </w:tc>
        <w:tc>
          <w:tcPr>
            <w:tcW w:w="320" w:type="pct"/>
            <w:vMerge w:val="restart"/>
            <w:tcBorders>
              <w:top w:val="single" w:color="auto" w:sz="4" w:space="0"/>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文化</w:t>
            </w:r>
          </w:p>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科技</w:t>
            </w:r>
          </w:p>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奖励</w:t>
            </w:r>
          </w:p>
        </w:tc>
        <w:tc>
          <w:tcPr>
            <w:tcW w:w="3922" w:type="pct"/>
            <w:gridSpan w:val="2"/>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上一学年获得北京市级（含）以上文化科技类奖励</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tc>
        <w:tc>
          <w:tcPr>
            <w:tcW w:w="320" w:type="pct"/>
            <w:vMerge w:val="continue"/>
            <w:tcBorders>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p>
        </w:tc>
        <w:tc>
          <w:tcPr>
            <w:tcW w:w="3922" w:type="pct"/>
            <w:gridSpan w:val="2"/>
            <w:tcBorders>
              <w:top w:val="single" w:color="000000" w:sz="4" w:space="0"/>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上一学年获得校级文化科技类奖励</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tc>
        <w:tc>
          <w:tcPr>
            <w:tcW w:w="320" w:type="pct"/>
            <w:vMerge w:val="restart"/>
            <w:tcBorders>
              <w:top w:val="single" w:color="auto" w:sz="4" w:space="0"/>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优秀</w:t>
            </w:r>
          </w:p>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称号</w:t>
            </w:r>
          </w:p>
        </w:tc>
        <w:tc>
          <w:tcPr>
            <w:tcW w:w="3922" w:type="pct"/>
            <w:gridSpan w:val="2"/>
            <w:tcBorders>
              <w:top w:val="single" w:color="auto" w:sz="4" w:space="0"/>
              <w:left w:val="single" w:color="auto"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上一学年获得北京市级（含）以上三好学生、优秀学生干部、优秀团员、优秀共产党员称号</w:t>
            </w:r>
          </w:p>
        </w:tc>
        <w:tc>
          <w:tcPr>
            <w:tcW w:w="334"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tc>
        <w:tc>
          <w:tcPr>
            <w:tcW w:w="320" w:type="pct"/>
            <w:vMerge w:val="continue"/>
            <w:tcBorders>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p>
        </w:tc>
        <w:tc>
          <w:tcPr>
            <w:tcW w:w="3922" w:type="pct"/>
            <w:gridSpan w:val="2"/>
            <w:tcBorders>
              <w:top w:val="single" w:color="auto" w:sz="4" w:space="0"/>
              <w:left w:val="single" w:color="auto"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上一学年获得校级三好学生、优秀学生干部、优秀团员、优秀共产党员称号</w:t>
            </w:r>
          </w:p>
        </w:tc>
        <w:tc>
          <w:tcPr>
            <w:tcW w:w="334"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tc>
        <w:tc>
          <w:tcPr>
            <w:tcW w:w="320" w:type="pct"/>
            <w:vMerge w:val="restart"/>
            <w:tcBorders>
              <w:top w:val="single" w:color="auto" w:sz="4" w:space="0"/>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学生</w:t>
            </w:r>
          </w:p>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干部</w:t>
            </w:r>
          </w:p>
        </w:tc>
        <w:tc>
          <w:tcPr>
            <w:tcW w:w="3922" w:type="pct"/>
            <w:gridSpan w:val="2"/>
            <w:tcBorders>
              <w:top w:val="single" w:color="auto" w:sz="4" w:space="0"/>
              <w:left w:val="single" w:color="auto"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上一学年担任校研究生会部长（含）以上学生干部、研究生分会（副）主席、班长、党支部书记</w:t>
            </w:r>
          </w:p>
        </w:tc>
        <w:tc>
          <w:tcPr>
            <w:tcW w:w="334"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szCs w:val="21"/>
                <w14:textFill>
                  <w14:solidFill>
                    <w14:schemeClr w14:val="tx1"/>
                  </w14:solidFill>
                </w14:textFill>
              </w:rPr>
            </w:pPr>
          </w:p>
        </w:tc>
        <w:tc>
          <w:tcPr>
            <w:tcW w:w="320" w:type="pct"/>
            <w:vMerge w:val="continue"/>
            <w:tcBorders>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color w:val="000000" w:themeColor="text1"/>
                <w:kern w:val="0"/>
                <w:szCs w:val="21"/>
                <w14:textFill>
                  <w14:solidFill>
                    <w14:schemeClr w14:val="tx1"/>
                  </w14:solidFill>
                </w14:textFill>
              </w:rPr>
            </w:pPr>
          </w:p>
        </w:tc>
        <w:tc>
          <w:tcPr>
            <w:tcW w:w="3922" w:type="pct"/>
            <w:gridSpan w:val="2"/>
            <w:tcBorders>
              <w:top w:val="single" w:color="auto" w:sz="4" w:space="0"/>
              <w:left w:val="single" w:color="auto"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上一学年担任其他学生干部（研究生分会部长、党支部委员等）</w:t>
            </w:r>
          </w:p>
        </w:tc>
        <w:tc>
          <w:tcPr>
            <w:tcW w:w="334" w:type="pct"/>
            <w:tcBorders>
              <w:top w:val="single" w:color="000000" w:sz="4" w:space="0"/>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5</w:t>
            </w:r>
          </w:p>
        </w:tc>
      </w:tr>
    </w:tbl>
    <w:p>
      <w:pPr>
        <w:rPr>
          <w:rFonts w:ascii="仿宋" w:hAnsi="仿宋" w:eastAsia="仿宋" w:cs="仿宋"/>
        </w:rPr>
      </w:pPr>
      <w:r>
        <w:rPr>
          <w:rFonts w:hint="eastAsia" w:ascii="仿宋" w:hAnsi="仿宋" w:eastAsia="仿宋" w:cs="仿宋"/>
        </w:rPr>
        <w:t>备注：</w:t>
      </w:r>
    </w:p>
    <w:p>
      <w:pPr>
        <w:rPr>
          <w:rFonts w:ascii="仿宋" w:hAnsi="仿宋" w:eastAsia="仿宋" w:cs="仿宋"/>
        </w:rPr>
      </w:pPr>
      <w:r>
        <w:rPr>
          <w:rFonts w:hint="eastAsia" w:ascii="仿宋" w:hAnsi="仿宋" w:eastAsia="仿宋" w:cs="仿宋"/>
        </w:rPr>
        <w:t>（1）科技论文及国家发明专利分数可累加。文章见刊时间为上一年度9月1日至当年8月31日，以第一作者发表且所属单位必须为中国地质大学（北京）</w:t>
      </w:r>
    </w:p>
    <w:p>
      <w:pPr>
        <w:rPr>
          <w:rFonts w:ascii="仿宋" w:hAnsi="仿宋" w:eastAsia="仿宋" w:cs="仿宋"/>
        </w:rPr>
      </w:pPr>
      <w:r>
        <w:rPr>
          <w:rFonts w:hint="eastAsia" w:ascii="仿宋" w:hAnsi="仿宋" w:eastAsia="仿宋" w:cs="仿宋"/>
        </w:rPr>
        <w:t>（2）以上各单项项内分数不累加。</w:t>
      </w:r>
    </w:p>
    <w:p>
      <w:pPr>
        <w:rPr>
          <w:rFonts w:ascii="仿宋" w:hAnsi="仿宋" w:eastAsia="仿宋" w:cs="仿宋"/>
          <w:b/>
          <w:sz w:val="28"/>
          <w:szCs w:val="28"/>
        </w:rPr>
      </w:pPr>
      <w:r>
        <w:rPr>
          <w:rFonts w:ascii="仿宋" w:hAnsi="仿宋" w:eastAsia="仿宋" w:cs="仿宋"/>
          <w:b/>
          <w:sz w:val="28"/>
          <w:szCs w:val="28"/>
        </w:rPr>
        <w:br w:type="page"/>
      </w:r>
    </w:p>
    <w:p>
      <w:pPr>
        <w:spacing w:before="156" w:beforeLines="50" w:after="156" w:afterLines="50" w:line="550" w:lineRule="exact"/>
        <w:rPr>
          <w:rFonts w:ascii="仿宋" w:hAnsi="仿宋" w:eastAsia="仿宋" w:cs="仿宋"/>
          <w:b/>
          <w:sz w:val="24"/>
        </w:rPr>
      </w:pPr>
      <w:r>
        <w:rPr>
          <w:rFonts w:hint="eastAsia" w:ascii="仿宋" w:hAnsi="仿宋" w:eastAsia="仿宋" w:cs="仿宋"/>
          <w:b/>
          <w:sz w:val="24"/>
        </w:rPr>
        <w:t>附表2（博士研究生）：</w:t>
      </w:r>
    </w:p>
    <w:tbl>
      <w:tblPr>
        <w:tblStyle w:val="7"/>
        <w:tblW w:w="5315" w:type="pct"/>
        <w:jc w:val="center"/>
        <w:tblLayout w:type="autofit"/>
        <w:tblCellMar>
          <w:top w:w="0" w:type="dxa"/>
          <w:left w:w="0" w:type="dxa"/>
          <w:bottom w:w="0" w:type="dxa"/>
          <w:right w:w="0" w:type="dxa"/>
        </w:tblCellMar>
      </w:tblPr>
      <w:tblGrid>
        <w:gridCol w:w="924"/>
        <w:gridCol w:w="1683"/>
        <w:gridCol w:w="5488"/>
        <w:gridCol w:w="760"/>
      </w:tblGrid>
      <w:tr>
        <w:tblPrEx>
          <w:tblCellMar>
            <w:top w:w="0" w:type="dxa"/>
            <w:left w:w="0" w:type="dxa"/>
            <w:bottom w:w="0" w:type="dxa"/>
            <w:right w:w="0" w:type="dxa"/>
          </w:tblCellMar>
        </w:tblPrEx>
        <w:trPr>
          <w:trHeight w:val="256" w:hRule="atLeast"/>
          <w:jc w:val="center"/>
        </w:trPr>
        <w:tc>
          <w:tcPr>
            <w:tcW w:w="522" w:type="pct"/>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kern w:val="0"/>
                <w:szCs w:val="21"/>
              </w:rPr>
            </w:pPr>
          </w:p>
        </w:tc>
        <w:tc>
          <w:tcPr>
            <w:tcW w:w="950"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kern w:val="0"/>
                <w:szCs w:val="21"/>
              </w:rPr>
            </w:pPr>
            <w:r>
              <w:rPr>
                <w:rFonts w:hint="eastAsia" w:ascii="仿宋" w:hAnsi="仿宋" w:eastAsia="仿宋" w:cs="仿宋"/>
                <w:b/>
                <w:bCs/>
                <w:kern w:val="0"/>
                <w:szCs w:val="21"/>
              </w:rPr>
              <w:t>成果分类</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color w:val="000000"/>
                <w:szCs w:val="21"/>
              </w:rPr>
            </w:pPr>
            <w:r>
              <w:rPr>
                <w:rFonts w:hint="eastAsia" w:ascii="仿宋" w:hAnsi="仿宋" w:eastAsia="仿宋" w:cs="仿宋"/>
                <w:b/>
                <w:bCs/>
                <w:color w:val="000000"/>
                <w:szCs w:val="21"/>
              </w:rPr>
              <w:t>项目</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b/>
                <w:bCs/>
                <w:szCs w:val="21"/>
              </w:rPr>
            </w:pPr>
            <w:r>
              <w:rPr>
                <w:rFonts w:hint="eastAsia" w:ascii="仿宋" w:hAnsi="仿宋" w:eastAsia="仿宋" w:cs="仿宋"/>
                <w:b/>
                <w:bCs/>
                <w:szCs w:val="21"/>
              </w:rPr>
              <w:t>分值</w:t>
            </w:r>
          </w:p>
        </w:tc>
      </w:tr>
      <w:tr>
        <w:tblPrEx>
          <w:tblCellMar>
            <w:top w:w="0" w:type="dxa"/>
            <w:left w:w="0" w:type="dxa"/>
            <w:bottom w:w="0" w:type="dxa"/>
            <w:right w:w="0" w:type="dxa"/>
          </w:tblCellMar>
        </w:tblPrEx>
        <w:trPr>
          <w:trHeight w:val="256" w:hRule="atLeast"/>
          <w:jc w:val="center"/>
        </w:trPr>
        <w:tc>
          <w:tcPr>
            <w:tcW w:w="522" w:type="pct"/>
            <w:vMerge w:val="restart"/>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科研成果</w:t>
            </w:r>
          </w:p>
        </w:tc>
        <w:tc>
          <w:tcPr>
            <w:tcW w:w="950" w:type="pct"/>
            <w:vMerge w:val="restart"/>
            <w:tcBorders>
              <w:top w:val="single" w:color="000000" w:sz="4" w:space="0"/>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标志性期刊论文</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标志性期刊目录A区论文</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600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标志性期刊目录B区论文</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300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color w:val="000000"/>
                <w:szCs w:val="21"/>
              </w:rPr>
            </w:pPr>
            <w:r>
              <w:rPr>
                <w:rFonts w:hint="eastAsia" w:ascii="仿宋" w:hAnsi="仿宋" w:eastAsia="仿宋" w:cs="仿宋"/>
                <w:color w:val="000000"/>
                <w:szCs w:val="21"/>
              </w:rPr>
              <w:t>学院榜刊</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200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标志性期刊目录C区论文（Q1）</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continue"/>
            <w:tcBorders>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color w:val="000000"/>
                <w:szCs w:val="21"/>
              </w:rPr>
              <w:t>标志性期刊目录D区论文（Q2）</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35</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restart"/>
            <w:tcBorders>
              <w:top w:val="single" w:color="000000" w:sz="4" w:space="0"/>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其他期刊论文</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color w:val="000000"/>
                <w:szCs w:val="21"/>
              </w:rPr>
            </w:pPr>
            <w:r>
              <w:rPr>
                <w:rFonts w:hint="eastAsia" w:ascii="仿宋" w:hAnsi="仿宋" w:eastAsia="仿宋" w:cs="仿宋"/>
                <w:color w:val="000000"/>
                <w:szCs w:val="21"/>
              </w:rPr>
              <w:t>在除上述之外的其他期刊上发表的SCI/SSCI学术成果</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20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continue"/>
            <w:tcBorders>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中文SCI</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15</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vMerge w:val="continue"/>
            <w:tcBorders>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kern w:val="0"/>
                <w:szCs w:val="21"/>
              </w:rPr>
              <w:t>中文卓越期刊目录论文</w:t>
            </w:r>
            <w:r>
              <w:rPr>
                <w:rFonts w:hint="eastAsia" w:ascii="仿宋" w:hAnsi="仿宋" w:eastAsia="仿宋" w:cs="仿宋"/>
                <w:bCs/>
                <w:szCs w:val="21"/>
              </w:rPr>
              <w:t>/EI、ISTP检索论文</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10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专著</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szCs w:val="21"/>
              </w:rPr>
            </w:pPr>
            <w:r>
              <w:rPr>
                <w:rFonts w:hint="eastAsia" w:ascii="仿宋" w:hAnsi="仿宋" w:eastAsia="仿宋" w:cs="仿宋"/>
                <w:kern w:val="0"/>
                <w:szCs w:val="21"/>
              </w:rPr>
              <w:t>中、英文学术第一作者</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szCs w:val="21"/>
              </w:rPr>
              <w:t>300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科技成果奖</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省部级以上科技成果奖（国家级前十，省部级前五）</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szCs w:val="21"/>
              </w:rPr>
            </w:pPr>
            <w:r>
              <w:rPr>
                <w:rFonts w:hint="eastAsia" w:ascii="仿宋" w:hAnsi="仿宋" w:eastAsia="仿宋" w:cs="仿宋"/>
                <w:kern w:val="0"/>
                <w:szCs w:val="21"/>
              </w:rPr>
              <w:t>100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国家发明专利</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已授权第一人</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20</w:t>
            </w:r>
          </w:p>
        </w:tc>
      </w:tr>
      <w:tr>
        <w:tblPrEx>
          <w:tblCellMar>
            <w:top w:w="0" w:type="dxa"/>
            <w:left w:w="0" w:type="dxa"/>
            <w:bottom w:w="0" w:type="dxa"/>
            <w:right w:w="0" w:type="dxa"/>
          </w:tblCellMar>
        </w:tblPrEx>
        <w:trPr>
          <w:trHeight w:val="660"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ascii="仿宋" w:hAnsi="仿宋" w:eastAsia="仿宋" w:cs="仿宋"/>
                <w:szCs w:val="21"/>
              </w:rPr>
            </w:pPr>
          </w:p>
        </w:tc>
        <w:tc>
          <w:tcPr>
            <w:tcW w:w="950" w:type="pct"/>
            <w:tcBorders>
              <w:top w:val="single" w:color="000000" w:sz="4" w:space="0"/>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实用新型</w:t>
            </w:r>
          </w:p>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软件著作权</w:t>
            </w:r>
          </w:p>
        </w:tc>
        <w:tc>
          <w:tcPr>
            <w:tcW w:w="3098" w:type="pct"/>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ascii="仿宋" w:hAnsi="仿宋" w:eastAsia="仿宋" w:cs="仿宋"/>
                <w:kern w:val="0"/>
                <w:szCs w:val="21"/>
              </w:rPr>
            </w:pPr>
            <w:r>
              <w:rPr>
                <w:rFonts w:hint="eastAsia" w:ascii="仿宋" w:hAnsi="仿宋" w:eastAsia="仿宋" w:cs="仿宋"/>
                <w:kern w:val="0"/>
                <w:szCs w:val="21"/>
              </w:rPr>
              <w:t>已授权第一人</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ascii="仿宋" w:hAnsi="仿宋" w:eastAsia="仿宋" w:cs="仿宋"/>
                <w:kern w:val="0"/>
                <w:szCs w:val="21"/>
              </w:rPr>
            </w:pPr>
            <w:r>
              <w:rPr>
                <w:rFonts w:hint="eastAsia" w:ascii="仿宋" w:hAnsi="仿宋" w:eastAsia="仿宋" w:cs="仿宋"/>
                <w:kern w:val="0"/>
                <w:szCs w:val="21"/>
              </w:rPr>
              <w:t>10</w:t>
            </w:r>
          </w:p>
        </w:tc>
      </w:tr>
    </w:tbl>
    <w:p>
      <w:pPr>
        <w:rPr>
          <w:rFonts w:ascii="仿宋" w:hAnsi="仿宋" w:eastAsia="仿宋" w:cs="仿宋"/>
          <w:bCs/>
          <w:szCs w:val="21"/>
        </w:rPr>
      </w:pPr>
      <w:r>
        <w:rPr>
          <w:rFonts w:hint="eastAsia" w:ascii="仿宋" w:hAnsi="仿宋" w:eastAsia="仿宋" w:cs="仿宋"/>
          <w:bCs/>
          <w:szCs w:val="21"/>
        </w:rPr>
        <w:t>备注：</w:t>
      </w:r>
    </w:p>
    <w:p>
      <w:pPr>
        <w:numPr>
          <w:ilvl w:val="0"/>
          <w:numId w:val="4"/>
        </w:numPr>
        <w:rPr>
          <w:rFonts w:ascii="仿宋" w:hAnsi="仿宋" w:eastAsia="仿宋" w:cs="仿宋"/>
          <w:bCs/>
          <w:szCs w:val="21"/>
        </w:rPr>
      </w:pPr>
      <w:r>
        <w:rPr>
          <w:rFonts w:hint="eastAsia" w:ascii="仿宋" w:hAnsi="仿宋" w:eastAsia="仿宋" w:cs="仿宋"/>
          <w:bCs/>
          <w:szCs w:val="21"/>
        </w:rPr>
        <w:t>科技论文及国家发明专利分数可累加。文章见刊时间为上一年度9月1日至当年8月31日，以第一作者发表且所属单位必须为中国地质大学（北京）。</w:t>
      </w:r>
    </w:p>
    <w:p>
      <w:pPr>
        <w:numPr>
          <w:ilvl w:val="0"/>
          <w:numId w:val="4"/>
        </w:numPr>
        <w:rPr>
          <w:rFonts w:ascii="仿宋" w:hAnsi="仿宋" w:eastAsia="仿宋" w:cs="仿宋"/>
          <w:b/>
          <w:sz w:val="28"/>
          <w:szCs w:val="28"/>
        </w:rPr>
      </w:pPr>
      <w:r>
        <w:rPr>
          <w:rFonts w:hint="eastAsia" w:ascii="仿宋" w:hAnsi="仿宋" w:eastAsia="仿宋" w:cs="仿宋"/>
          <w:bCs/>
          <w:szCs w:val="21"/>
        </w:rPr>
        <w:t>同等条件下平时成绩、综合表现等作为参考。</w:t>
      </w:r>
      <w:r>
        <w:rPr>
          <w:rFonts w:hint="eastAsia" w:ascii="仿宋" w:hAnsi="仿宋" w:eastAsia="仿宋" w:cs="仿宋"/>
          <w:b/>
          <w:sz w:val="28"/>
          <w:szCs w:val="28"/>
        </w:rPr>
        <w:br w:type="page"/>
      </w:r>
    </w:p>
    <w:p>
      <w:pPr>
        <w:spacing w:before="156" w:beforeLines="50" w:after="156" w:afterLines="50" w:line="550" w:lineRule="exact"/>
        <w:rPr>
          <w:rFonts w:ascii="仿宋" w:hAnsi="仿宋" w:eastAsia="仿宋" w:cs="仿宋"/>
          <w:b/>
          <w:sz w:val="30"/>
          <w:szCs w:val="30"/>
        </w:rPr>
      </w:pPr>
      <w:r>
        <w:rPr>
          <w:rFonts w:hint="eastAsia" w:ascii="仿宋" w:hAnsi="仿宋" w:eastAsia="仿宋" w:cs="仿宋"/>
          <w:b/>
          <w:sz w:val="24"/>
        </w:rPr>
        <w:t>附表3（期刊分区）：</w:t>
      </w:r>
    </w:p>
    <w:p>
      <w:pPr>
        <w:spacing w:before="156" w:beforeLines="50" w:after="156" w:afterLines="50"/>
        <w:jc w:val="center"/>
        <w:rPr>
          <w:rFonts w:ascii="仿宋" w:hAnsi="仿宋" w:eastAsia="仿宋" w:cs="仿宋"/>
          <w:b/>
          <w:sz w:val="30"/>
          <w:szCs w:val="30"/>
        </w:rPr>
      </w:pPr>
      <w:r>
        <w:rPr>
          <w:rFonts w:hint="eastAsia" w:ascii="仿宋" w:hAnsi="仿宋" w:eastAsia="仿宋" w:cs="仿宋"/>
          <w:b/>
          <w:sz w:val="30"/>
          <w:szCs w:val="30"/>
        </w:rPr>
        <w:t>中国地质大学（北京）</w:t>
      </w:r>
    </w:p>
    <w:p>
      <w:pPr>
        <w:spacing w:before="156" w:beforeLines="50" w:after="156" w:afterLines="50"/>
        <w:jc w:val="center"/>
        <w:rPr>
          <w:rFonts w:ascii="仿宋" w:hAnsi="仿宋" w:eastAsia="仿宋" w:cs="仿宋"/>
          <w:b/>
          <w:sz w:val="30"/>
          <w:szCs w:val="30"/>
        </w:rPr>
      </w:pPr>
      <w:r>
        <w:rPr>
          <w:rFonts w:hint="eastAsia" w:ascii="仿宋" w:hAnsi="仿宋" w:eastAsia="仿宋" w:cs="仿宋"/>
          <w:b/>
          <w:sz w:val="30"/>
          <w:szCs w:val="30"/>
        </w:rPr>
        <w:t>自然科学高水平学术成果标志性期刊目录</w:t>
      </w:r>
    </w:p>
    <w:tbl>
      <w:tblPr>
        <w:tblStyle w:val="7"/>
        <w:tblW w:w="52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566"/>
        <w:gridCol w:w="799"/>
        <w:gridCol w:w="5299"/>
        <w:gridCol w:w="1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836" w:type="pct"/>
            <w:gridSpan w:val="2"/>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类别和分区</w:t>
            </w:r>
          </w:p>
        </w:tc>
        <w:tc>
          <w:tcPr>
            <w:tcW w:w="449"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序号</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刊名</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b/>
                <w:color w:val="000000"/>
                <w:kern w:val="0"/>
                <w:szCs w:val="21"/>
              </w:rPr>
            </w:pPr>
            <w:r>
              <w:rPr>
                <w:rFonts w:hint="eastAsia" w:ascii="仿宋" w:hAnsi="仿宋" w:eastAsia="仿宋" w:cs="仿宋"/>
                <w:color w:val="000000"/>
                <w:kern w:val="0"/>
                <w:szCs w:val="21"/>
              </w:rPr>
              <w:t>ISSN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顶级</w:t>
            </w:r>
          </w:p>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期刊</w:t>
            </w:r>
          </w:p>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(A区)</w:t>
            </w:r>
          </w:p>
        </w:tc>
        <w:tc>
          <w:tcPr>
            <w:tcW w:w="318"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A1</w:t>
            </w: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Nature</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0028-0836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Science</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0036-8075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A2</w:t>
            </w: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Nature Geoscience</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1752-0894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Nature Materials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1476-1122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Nature Communications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2041-1723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Science Advances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2375-2548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color w:val="000000"/>
                <w:kern w:val="0"/>
                <w:szCs w:val="21"/>
              </w:rPr>
              <w:t>7</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Proceedings of The National Academy of Sciences of The United States of America</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0027-8424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8</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Annual Review of Earth and Planetary Sciences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0084-6597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标志</w:t>
            </w:r>
          </w:p>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期刊</w:t>
            </w:r>
          </w:p>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(B区)</w:t>
            </w:r>
          </w:p>
        </w:tc>
        <w:tc>
          <w:tcPr>
            <w:tcW w:w="318"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B</w:t>
            </w: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9</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Reviews of Geophysics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8755-1209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Earth-Science Reviews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0012-8252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Geological Society of America Bulletin</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0016-7606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Geology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0091-7613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Earth and Planetary Science Letters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0012-821X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Geophysical Research Letters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0094-8276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Remote Sensing of Environment</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0034-4257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National Science Review</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2095-5138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17</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Elements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1811-5209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18</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Reviews in Mineralogy and Geochemistry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1529-6466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19</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AngewandteChemie-International Edition</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1433-7851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the American Chemical Society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0002-7863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szCs w:val="21"/>
              </w:rPr>
              <w:t>21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Nano Energy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2211-2855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Tectonics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0278-7407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Petrology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0022-3530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Geochimica Et Cosmochimica Acta</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0016-7037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American Mineralogists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0003-004X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Economic Geology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0361-0128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27</w:t>
            </w:r>
          </w:p>
        </w:tc>
        <w:tc>
          <w:tcPr>
            <w:tcW w:w="2977" w:type="pct"/>
            <w:tcBorders>
              <w:top w:val="single" w:color="auto" w:sz="4" w:space="0"/>
              <w:left w:val="single" w:color="auto" w:sz="4" w:space="0"/>
              <w:bottom w:val="single" w:color="auto" w:sz="4" w:space="0"/>
              <w:right w:val="single" w:color="auto" w:sz="4" w:space="0"/>
            </w:tcBorders>
            <w:noWrap/>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Quaternary Science Reviews</w:t>
            </w:r>
          </w:p>
        </w:tc>
        <w:tc>
          <w:tcPr>
            <w:tcW w:w="736" w:type="pct"/>
            <w:tcBorders>
              <w:top w:val="single" w:color="auto" w:sz="4" w:space="0"/>
              <w:left w:val="single" w:color="auto" w:sz="4" w:space="0"/>
              <w:bottom w:val="single" w:color="auto" w:sz="4" w:space="0"/>
              <w:right w:val="single" w:color="auto" w:sz="4" w:space="0"/>
            </w:tcBorders>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0277-3791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28</w:t>
            </w:r>
          </w:p>
        </w:tc>
        <w:tc>
          <w:tcPr>
            <w:tcW w:w="2977" w:type="pct"/>
            <w:tcBorders>
              <w:top w:val="single" w:color="auto" w:sz="4" w:space="0"/>
              <w:left w:val="single" w:color="auto" w:sz="4" w:space="0"/>
              <w:bottom w:val="single" w:color="auto" w:sz="4" w:space="0"/>
              <w:right w:val="single" w:color="auto" w:sz="4" w:space="0"/>
            </w:tcBorders>
            <w:noWrap/>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Palaeontology</w:t>
            </w:r>
          </w:p>
        </w:tc>
        <w:tc>
          <w:tcPr>
            <w:tcW w:w="736" w:type="pct"/>
            <w:tcBorders>
              <w:top w:val="single" w:color="auto" w:sz="4" w:space="0"/>
              <w:left w:val="single" w:color="auto" w:sz="4" w:space="0"/>
              <w:bottom w:val="single" w:color="auto" w:sz="4" w:space="0"/>
              <w:right w:val="single" w:color="auto" w:sz="4" w:space="0"/>
            </w:tcBorders>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0031-0239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29</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Water Resources Research</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0043-1397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Environmental Science &amp; Technology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0013-936X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AAPG Bulletin</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0149-1423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highlight w:val="green"/>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highlight w:val="green"/>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Basin Research</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0950-091X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Geophysical Research-Atmospheres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2169-897X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Geophysical Research-Biogeosciences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2169-8953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Geophysical Research-Solid Earth</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2169-9313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Geophysical Research-Planets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2169-9097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37</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Geophysical Research-Oceans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2169-9275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38</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Journal of Geophysical Research-Earth Surface</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2169-9003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39</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IEEE Transactions on Power Electronics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0885-8993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highlight w:val="green"/>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highlight w:val="green"/>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SPE Journal</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1086-055X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Engineering Geology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0013-7952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Safety Science</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0925-7535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highlight w:val="red"/>
              </w:rPr>
            </w:pPr>
            <w:r>
              <w:rPr>
                <w:rFonts w:hint="eastAsia" w:ascii="仿宋" w:hAnsi="仿宋" w:eastAsia="仿宋" w:cs="仿宋"/>
                <w:color w:val="000000"/>
                <w:kern w:val="0"/>
                <w:szCs w:val="21"/>
              </w:rPr>
              <w:t>International Journal of Mechanical Sciences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highlight w:val="red"/>
              </w:rPr>
            </w:pPr>
            <w:r>
              <w:rPr>
                <w:rFonts w:hint="eastAsia" w:ascii="仿宋" w:hAnsi="仿宋" w:eastAsia="仿宋" w:cs="仿宋"/>
                <w:color w:val="000000"/>
                <w:kern w:val="0"/>
                <w:szCs w:val="21"/>
              </w:rPr>
              <w:t>0020-7403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szCs w:val="21"/>
              </w:rPr>
            </w:pPr>
            <w:r>
              <w:rPr>
                <w:rFonts w:hint="eastAsia" w:ascii="仿宋" w:hAnsi="仿宋" w:eastAsia="仿宋" w:cs="仿宋"/>
                <w:szCs w:val="21"/>
              </w:rPr>
              <w:t>Marine Geology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szCs w:val="21"/>
              </w:rPr>
            </w:pPr>
            <w:r>
              <w:rPr>
                <w:rFonts w:hint="eastAsia" w:ascii="仿宋" w:hAnsi="仿宋" w:eastAsia="仿宋" w:cs="仿宋"/>
                <w:szCs w:val="21"/>
              </w:rPr>
              <w:t>0025-3227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szCs w:val="21"/>
              </w:rPr>
            </w:pPr>
            <w:r>
              <w:rPr>
                <w:rFonts w:hint="eastAsia" w:ascii="仿宋" w:hAnsi="仿宋" w:eastAsia="仿宋" w:cs="仿宋"/>
                <w:szCs w:val="21"/>
              </w:rPr>
              <w:t>Marine Environmental Research</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szCs w:val="21"/>
              </w:rPr>
            </w:pPr>
            <w:r>
              <w:rPr>
                <w:rFonts w:hint="eastAsia" w:ascii="仿宋" w:hAnsi="仿宋" w:eastAsia="仿宋" w:cs="仿宋"/>
                <w:szCs w:val="21"/>
              </w:rPr>
              <w:t>0141-1136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46</w:t>
            </w:r>
          </w:p>
        </w:tc>
        <w:tc>
          <w:tcPr>
            <w:tcW w:w="2977"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left"/>
              <w:rPr>
                <w:rFonts w:ascii="仿宋" w:hAnsi="仿宋" w:eastAsia="仿宋" w:cs="仿宋"/>
                <w:szCs w:val="21"/>
              </w:rPr>
            </w:pPr>
            <w:r>
              <w:rPr>
                <w:rFonts w:hint="eastAsia" w:ascii="仿宋" w:hAnsi="仿宋" w:eastAsia="仿宋" w:cs="仿宋"/>
                <w:szCs w:val="21"/>
              </w:rPr>
              <w:t>Journal of Geodesy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szCs w:val="21"/>
              </w:rPr>
            </w:pPr>
            <w:r>
              <w:rPr>
                <w:rFonts w:hint="eastAsia" w:ascii="仿宋" w:hAnsi="仿宋" w:eastAsia="仿宋" w:cs="仿宋"/>
                <w:szCs w:val="21"/>
              </w:rPr>
              <w:t>0949-7714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47</w:t>
            </w:r>
          </w:p>
        </w:tc>
        <w:tc>
          <w:tcPr>
            <w:tcW w:w="2977"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left"/>
              <w:rPr>
                <w:rFonts w:ascii="仿宋" w:hAnsi="仿宋" w:eastAsia="仿宋" w:cs="仿宋"/>
                <w:szCs w:val="21"/>
              </w:rPr>
            </w:pPr>
            <w:r>
              <w:rPr>
                <w:rFonts w:hint="eastAsia" w:ascii="仿宋" w:hAnsi="仿宋" w:eastAsia="仿宋" w:cs="仿宋"/>
                <w:szCs w:val="21"/>
              </w:rPr>
              <w:t>Land Use Policy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szCs w:val="21"/>
              </w:rPr>
            </w:pPr>
            <w:r>
              <w:rPr>
                <w:rFonts w:hint="eastAsia" w:ascii="仿宋" w:hAnsi="仿宋" w:eastAsia="仿宋" w:cs="仿宋"/>
                <w:szCs w:val="21"/>
              </w:rPr>
              <w:t>0264-8377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48</w:t>
            </w:r>
          </w:p>
        </w:tc>
        <w:tc>
          <w:tcPr>
            <w:tcW w:w="2977"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IEEE Transactions On Geoscience and Remote Sensing</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0196-2892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49</w:t>
            </w:r>
          </w:p>
        </w:tc>
        <w:tc>
          <w:tcPr>
            <w:tcW w:w="2977"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Future Generation Computer Systems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0167-739X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FF0000"/>
                <w:kern w:val="0"/>
                <w:szCs w:val="21"/>
              </w:rPr>
            </w:pPr>
            <w:r>
              <w:rPr>
                <w:rFonts w:hint="eastAsia" w:ascii="仿宋" w:hAnsi="仿宋" w:eastAsia="仿宋" w:cs="仿宋"/>
                <w:kern w:val="0"/>
                <w:szCs w:val="21"/>
              </w:rPr>
              <w:t>Crystal Growth &amp; Design</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1528-7483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FF0000"/>
                <w:kern w:val="0"/>
                <w:szCs w:val="21"/>
              </w:rPr>
            </w:pPr>
            <w:r>
              <w:rPr>
                <w:rFonts w:hint="eastAsia" w:ascii="仿宋" w:hAnsi="仿宋" w:eastAsia="仿宋" w:cs="仿宋"/>
                <w:kern w:val="0"/>
                <w:szCs w:val="21"/>
              </w:rPr>
              <w:t>Journal of Materials Chemistry A</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2050-7488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Advanced Functional Materials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1616-301X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Gems &amp; gemology</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0016-626X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Applied Mathematics Letters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0893-9659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Applied Physics Letters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0003-6951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p>
        </w:tc>
        <w:tc>
          <w:tcPr>
            <w:tcW w:w="449" w:type="pct"/>
            <w:tcBorders>
              <w:top w:val="single" w:color="auto" w:sz="4" w:space="0"/>
              <w:left w:val="single" w:color="auto" w:sz="4" w:space="0"/>
              <w:bottom w:val="single" w:color="auto" w:sz="4" w:space="0"/>
              <w:right w:val="single" w:color="auto" w:sz="4" w:space="0"/>
            </w:tcBorders>
            <w:vAlign w:val="center"/>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56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ascii="仿宋" w:hAnsi="仿宋" w:eastAsia="仿宋" w:cs="仿宋"/>
                <w:color w:val="000000"/>
                <w:kern w:val="0"/>
                <w:szCs w:val="21"/>
              </w:rPr>
            </w:pPr>
            <w:r>
              <w:rPr>
                <w:rFonts w:hint="eastAsia" w:ascii="仿宋" w:hAnsi="仿宋" w:eastAsia="仿宋" w:cs="仿宋"/>
                <w:color w:val="000000"/>
                <w:kern w:val="0"/>
                <w:szCs w:val="21"/>
              </w:rPr>
              <w:t>Chemical Communications</w:t>
            </w:r>
          </w:p>
        </w:tc>
        <w:tc>
          <w:tcPr>
            <w:tcW w:w="736" w:type="pct"/>
            <w:tcBorders>
              <w:top w:val="single" w:color="auto" w:sz="4" w:space="0"/>
              <w:left w:val="single" w:color="auto" w:sz="4" w:space="0"/>
              <w:bottom w:val="single" w:color="auto" w:sz="4" w:space="0"/>
              <w:right w:val="single" w:color="auto" w:sz="4" w:space="0"/>
            </w:tcBorders>
            <w:vAlign w:val="center"/>
          </w:tcPr>
          <w:p>
            <w:pPr>
              <w:widowControl/>
              <w:tabs>
                <w:tab w:val="left" w:pos="0"/>
              </w:tabs>
              <w:spacing w:line="276"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1359-7345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36" w:type="pct"/>
            <w:gridSpan w:val="2"/>
            <w:tcBorders>
              <w:top w:val="single" w:color="auto" w:sz="4" w:space="0"/>
              <w:left w:val="single" w:color="auto" w:sz="4" w:space="0"/>
              <w:bottom w:val="single" w:color="auto" w:sz="4" w:space="0"/>
              <w:right w:val="single" w:color="auto" w:sz="4" w:space="0"/>
            </w:tcBorders>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（C区）</w:t>
            </w:r>
          </w:p>
        </w:tc>
        <w:tc>
          <w:tcPr>
            <w:tcW w:w="4163" w:type="pct"/>
            <w:gridSpan w:val="3"/>
            <w:tcBorders>
              <w:top w:val="single" w:color="auto" w:sz="4" w:space="0"/>
              <w:left w:val="single" w:color="auto" w:sz="4" w:space="0"/>
              <w:bottom w:val="single" w:color="auto" w:sz="4" w:space="0"/>
              <w:right w:val="single" w:color="auto" w:sz="4" w:space="0"/>
            </w:tcBorders>
          </w:tcPr>
          <w:p>
            <w:pPr>
              <w:tabs>
                <w:tab w:val="left" w:pos="0"/>
              </w:tabs>
              <w:spacing w:line="276" w:lineRule="auto"/>
              <w:jc w:val="left"/>
              <w:rPr>
                <w:rFonts w:ascii="仿宋" w:hAnsi="仿宋" w:eastAsia="仿宋" w:cs="仿宋"/>
                <w:szCs w:val="21"/>
              </w:rPr>
            </w:pPr>
            <w:r>
              <w:rPr>
                <w:rFonts w:hint="eastAsia" w:ascii="仿宋" w:hAnsi="仿宋" w:eastAsia="仿宋" w:cs="仿宋"/>
                <w:szCs w:val="21"/>
              </w:rPr>
              <w:t>中国科学技术信息研究所JCR 1区的其他期刊上发表的英文SCI学术成果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36" w:type="pct"/>
            <w:gridSpan w:val="2"/>
            <w:tcBorders>
              <w:top w:val="single" w:color="auto" w:sz="4" w:space="0"/>
              <w:left w:val="single" w:color="auto" w:sz="4" w:space="0"/>
              <w:bottom w:val="single" w:color="auto" w:sz="4" w:space="0"/>
              <w:right w:val="single" w:color="auto" w:sz="4" w:space="0"/>
            </w:tcBorders>
          </w:tcPr>
          <w:p>
            <w:pPr>
              <w:tabs>
                <w:tab w:val="left" w:pos="0"/>
              </w:tabs>
              <w:spacing w:line="276" w:lineRule="auto"/>
              <w:jc w:val="center"/>
              <w:rPr>
                <w:rFonts w:ascii="仿宋" w:hAnsi="仿宋" w:eastAsia="仿宋" w:cs="仿宋"/>
                <w:szCs w:val="21"/>
              </w:rPr>
            </w:pPr>
            <w:r>
              <w:rPr>
                <w:rFonts w:hint="eastAsia" w:ascii="仿宋" w:hAnsi="仿宋" w:eastAsia="仿宋" w:cs="仿宋"/>
                <w:szCs w:val="21"/>
              </w:rPr>
              <w:t>（D区）</w:t>
            </w:r>
          </w:p>
        </w:tc>
        <w:tc>
          <w:tcPr>
            <w:tcW w:w="4163" w:type="pct"/>
            <w:gridSpan w:val="3"/>
            <w:tcBorders>
              <w:top w:val="single" w:color="auto" w:sz="4" w:space="0"/>
              <w:left w:val="single" w:color="auto" w:sz="4" w:space="0"/>
              <w:bottom w:val="single" w:color="auto" w:sz="4" w:space="0"/>
              <w:right w:val="single" w:color="auto" w:sz="4" w:space="0"/>
            </w:tcBorders>
          </w:tcPr>
          <w:p>
            <w:pPr>
              <w:tabs>
                <w:tab w:val="left" w:pos="0"/>
              </w:tabs>
              <w:spacing w:line="276" w:lineRule="auto"/>
              <w:jc w:val="left"/>
              <w:rPr>
                <w:rFonts w:ascii="仿宋" w:hAnsi="仿宋" w:eastAsia="仿宋" w:cs="仿宋"/>
                <w:szCs w:val="21"/>
              </w:rPr>
            </w:pPr>
            <w:r>
              <w:rPr>
                <w:rFonts w:hint="eastAsia" w:ascii="仿宋" w:hAnsi="仿宋" w:eastAsia="仿宋" w:cs="仿宋"/>
                <w:szCs w:val="21"/>
              </w:rPr>
              <w:t>中国科学技术信息研究所JCR 2区的其他期刊上发表的英文SCI学术成果</w:t>
            </w:r>
          </w:p>
        </w:tc>
      </w:tr>
    </w:tbl>
    <w:p>
      <w:pPr>
        <w:spacing w:before="156" w:beforeLines="50" w:after="156" w:afterLines="50" w:line="550" w:lineRule="exact"/>
        <w:rPr>
          <w:rFonts w:ascii="仿宋" w:hAnsi="仿宋" w:eastAsia="仿宋" w:cs="仿宋"/>
          <w:b/>
          <w:sz w:val="28"/>
          <w:szCs w:val="28"/>
        </w:rPr>
      </w:pPr>
    </w:p>
    <w:p>
      <w:pPr>
        <w:spacing w:before="156" w:beforeLines="50" w:after="156" w:afterLines="50" w:line="550" w:lineRule="exact"/>
        <w:rPr>
          <w:rFonts w:ascii="仿宋" w:hAnsi="仿宋" w:eastAsia="仿宋" w:cs="仿宋"/>
          <w:b/>
          <w:sz w:val="28"/>
          <w:szCs w:val="28"/>
        </w:rPr>
      </w:pPr>
    </w:p>
    <w:p>
      <w:pPr>
        <w:rPr>
          <w:rFonts w:ascii="仿宋" w:hAnsi="仿宋" w:eastAsia="仿宋" w:cs="仿宋"/>
          <w:b/>
          <w:sz w:val="28"/>
          <w:szCs w:val="28"/>
        </w:rPr>
      </w:pPr>
      <w:r>
        <w:rPr>
          <w:rFonts w:hint="eastAsia" w:ascii="仿宋" w:hAnsi="仿宋" w:eastAsia="仿宋" w:cs="仿宋"/>
          <w:b/>
          <w:sz w:val="28"/>
          <w:szCs w:val="28"/>
        </w:rPr>
        <w:br w:type="page"/>
      </w:r>
    </w:p>
    <w:p>
      <w:pPr>
        <w:spacing w:before="156" w:beforeLines="50" w:after="156" w:afterLines="50" w:line="550" w:lineRule="exact"/>
        <w:rPr>
          <w:rFonts w:ascii="仿宋" w:hAnsi="仿宋" w:eastAsia="仿宋" w:cs="仿宋"/>
          <w:sz w:val="24"/>
        </w:rPr>
      </w:pPr>
      <w:r>
        <w:rPr>
          <w:rFonts w:hint="eastAsia" w:ascii="仿宋" w:hAnsi="仿宋" w:eastAsia="仿宋" w:cs="仿宋"/>
          <w:b/>
          <w:sz w:val="24"/>
        </w:rPr>
        <w:t>附表4 学院榜刊：</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Mineralium Deposita</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Journal of Structural Geology</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Sedimentology</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Contributions to Mineralogy and Petrology</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Geochemical Perspectives Letters</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Computers &amp; Geosciences</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Palaeogeograchy，Palaeoclimatology，Palaeoecology</w:t>
      </w:r>
    </w:p>
    <w:p>
      <w:pPr>
        <w:spacing w:before="156" w:beforeLines="50" w:after="156" w:afterLines="50" w:line="400" w:lineRule="exact"/>
        <w:rPr>
          <w:rFonts w:ascii="仿宋" w:hAnsi="仿宋" w:eastAsia="仿宋" w:cs="仿宋"/>
          <w:szCs w:val="21"/>
        </w:rPr>
      </w:pPr>
      <w:r>
        <w:rPr>
          <w:rFonts w:hint="eastAsia" w:ascii="仿宋" w:hAnsi="仿宋" w:eastAsia="仿宋" w:cs="仿宋"/>
          <w:szCs w:val="21"/>
        </w:rPr>
        <w:t>Quaternary Research</w:t>
      </w:r>
    </w:p>
    <w:p>
      <w:pPr>
        <w:spacing w:before="156" w:beforeLines="50" w:after="156" w:afterLines="50" w:line="400" w:lineRule="exact"/>
        <w:rPr>
          <w:rFonts w:ascii="仿宋" w:hAnsi="仿宋" w:eastAsia="仿宋" w:cs="仿宋"/>
          <w:sz w:val="24"/>
        </w:rPr>
      </w:pPr>
    </w:p>
    <w:p>
      <w:pPr>
        <w:spacing w:before="156" w:beforeLines="50" w:after="156" w:afterLines="50" w:line="550" w:lineRule="exact"/>
        <w:rPr>
          <w:rFonts w:ascii="仿宋" w:hAnsi="仿宋" w:eastAsia="仿宋" w:cs="仿宋"/>
          <w:sz w:val="28"/>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405FF2"/>
    <w:multiLevelType w:val="singleLevel"/>
    <w:tmpl w:val="8E405FF2"/>
    <w:lvl w:ilvl="0" w:tentative="0">
      <w:start w:val="1"/>
      <w:numFmt w:val="chineseCounting"/>
      <w:suff w:val="space"/>
      <w:lvlText w:val="第%1条"/>
      <w:lvlJc w:val="left"/>
      <w:rPr>
        <w:rFonts w:hint="eastAsia"/>
      </w:rPr>
    </w:lvl>
  </w:abstractNum>
  <w:abstractNum w:abstractNumId="1">
    <w:nsid w:val="AD6F3048"/>
    <w:multiLevelType w:val="singleLevel"/>
    <w:tmpl w:val="AD6F3048"/>
    <w:lvl w:ilvl="0" w:tentative="0">
      <w:start w:val="1"/>
      <w:numFmt w:val="decimal"/>
      <w:suff w:val="nothing"/>
      <w:lvlText w:val="（%1）"/>
      <w:lvlJc w:val="left"/>
      <w:rPr>
        <w:rFonts w:hint="default"/>
        <w:b w:val="0"/>
        <w:bCs w:val="0"/>
        <w:sz w:val="21"/>
        <w:szCs w:val="21"/>
      </w:rPr>
    </w:lvl>
  </w:abstractNum>
  <w:abstractNum w:abstractNumId="2">
    <w:nsid w:val="3C7E5F97"/>
    <w:multiLevelType w:val="singleLevel"/>
    <w:tmpl w:val="3C7E5F97"/>
    <w:lvl w:ilvl="0" w:tentative="0">
      <w:start w:val="1"/>
      <w:numFmt w:val="chineseCounting"/>
      <w:suff w:val="nothing"/>
      <w:lvlText w:val="（%1）"/>
      <w:lvlJc w:val="left"/>
      <w:rPr>
        <w:rFonts w:hint="eastAsia"/>
      </w:rPr>
    </w:lvl>
  </w:abstractNum>
  <w:abstractNum w:abstractNumId="3">
    <w:nsid w:val="40C6BC32"/>
    <w:multiLevelType w:val="singleLevel"/>
    <w:tmpl w:val="40C6BC32"/>
    <w:lvl w:ilvl="0" w:tentative="0">
      <w:start w:val="1"/>
      <w:numFmt w:val="chineseCounting"/>
      <w:suff w:val="nothing"/>
      <w:lvlText w:val="（%1）"/>
      <w:lvlJc w:val="left"/>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2NTk3ZjAzZmU4YjUxNDg3YzQ2NjNkOWU5Yjc2MTgifQ=="/>
  </w:docVars>
  <w:rsids>
    <w:rsidRoot w:val="003414B6"/>
    <w:rsid w:val="000279FB"/>
    <w:rsid w:val="00032F75"/>
    <w:rsid w:val="00075D59"/>
    <w:rsid w:val="000F65EC"/>
    <w:rsid w:val="00105BE1"/>
    <w:rsid w:val="0012129A"/>
    <w:rsid w:val="001A047A"/>
    <w:rsid w:val="001C095E"/>
    <w:rsid w:val="001D7A01"/>
    <w:rsid w:val="001E61C9"/>
    <w:rsid w:val="001E72C0"/>
    <w:rsid w:val="00213367"/>
    <w:rsid w:val="002A4BDC"/>
    <w:rsid w:val="002B15A1"/>
    <w:rsid w:val="002B2797"/>
    <w:rsid w:val="00317AD9"/>
    <w:rsid w:val="003414B6"/>
    <w:rsid w:val="00366390"/>
    <w:rsid w:val="00393525"/>
    <w:rsid w:val="003B27D4"/>
    <w:rsid w:val="003D2400"/>
    <w:rsid w:val="003D73F7"/>
    <w:rsid w:val="003E2320"/>
    <w:rsid w:val="00406AD2"/>
    <w:rsid w:val="00411044"/>
    <w:rsid w:val="004150FC"/>
    <w:rsid w:val="004378A4"/>
    <w:rsid w:val="0045746B"/>
    <w:rsid w:val="004700AF"/>
    <w:rsid w:val="004D1905"/>
    <w:rsid w:val="004D1AC1"/>
    <w:rsid w:val="00534E22"/>
    <w:rsid w:val="005502C9"/>
    <w:rsid w:val="00550F58"/>
    <w:rsid w:val="00570880"/>
    <w:rsid w:val="005801C6"/>
    <w:rsid w:val="005824EC"/>
    <w:rsid w:val="00584969"/>
    <w:rsid w:val="00594004"/>
    <w:rsid w:val="005C5ACF"/>
    <w:rsid w:val="005E5D0A"/>
    <w:rsid w:val="00601846"/>
    <w:rsid w:val="00625B64"/>
    <w:rsid w:val="00664FEC"/>
    <w:rsid w:val="00691F49"/>
    <w:rsid w:val="007237A4"/>
    <w:rsid w:val="0074474D"/>
    <w:rsid w:val="00757E86"/>
    <w:rsid w:val="007A34C2"/>
    <w:rsid w:val="007A63EF"/>
    <w:rsid w:val="007D2EF9"/>
    <w:rsid w:val="007D44C9"/>
    <w:rsid w:val="007E0D73"/>
    <w:rsid w:val="00810575"/>
    <w:rsid w:val="00820A3B"/>
    <w:rsid w:val="00822434"/>
    <w:rsid w:val="00830DEB"/>
    <w:rsid w:val="00830F56"/>
    <w:rsid w:val="0084689B"/>
    <w:rsid w:val="00903DFB"/>
    <w:rsid w:val="00910AFD"/>
    <w:rsid w:val="00966A40"/>
    <w:rsid w:val="009A0ECB"/>
    <w:rsid w:val="009D5FE4"/>
    <w:rsid w:val="009E687B"/>
    <w:rsid w:val="00A062A2"/>
    <w:rsid w:val="00A47633"/>
    <w:rsid w:val="00AD135F"/>
    <w:rsid w:val="00AF3ABD"/>
    <w:rsid w:val="00B3383A"/>
    <w:rsid w:val="00B366EA"/>
    <w:rsid w:val="00B63FFA"/>
    <w:rsid w:val="00B84296"/>
    <w:rsid w:val="00BB1C4E"/>
    <w:rsid w:val="00BC3912"/>
    <w:rsid w:val="00BC7813"/>
    <w:rsid w:val="00C004FD"/>
    <w:rsid w:val="00C26B4D"/>
    <w:rsid w:val="00C34127"/>
    <w:rsid w:val="00C36EDF"/>
    <w:rsid w:val="00C57F36"/>
    <w:rsid w:val="00C62AF8"/>
    <w:rsid w:val="00C6348D"/>
    <w:rsid w:val="00C65431"/>
    <w:rsid w:val="00C65A7F"/>
    <w:rsid w:val="00CB38AB"/>
    <w:rsid w:val="00D3167A"/>
    <w:rsid w:val="00D35B12"/>
    <w:rsid w:val="00D709C0"/>
    <w:rsid w:val="00DB2426"/>
    <w:rsid w:val="00DB3FD4"/>
    <w:rsid w:val="00DF5348"/>
    <w:rsid w:val="00E06F86"/>
    <w:rsid w:val="00E07DDB"/>
    <w:rsid w:val="00E15D93"/>
    <w:rsid w:val="00E327AD"/>
    <w:rsid w:val="00E472C2"/>
    <w:rsid w:val="00E66712"/>
    <w:rsid w:val="00EA028F"/>
    <w:rsid w:val="00EB4B05"/>
    <w:rsid w:val="00EE00CB"/>
    <w:rsid w:val="00F17802"/>
    <w:rsid w:val="00F23D4D"/>
    <w:rsid w:val="00F93FAF"/>
    <w:rsid w:val="00FB3D0E"/>
    <w:rsid w:val="00FB64E1"/>
    <w:rsid w:val="00FC3C28"/>
    <w:rsid w:val="00FD5F3F"/>
    <w:rsid w:val="00FE561E"/>
    <w:rsid w:val="00FF01DC"/>
    <w:rsid w:val="030B7ED4"/>
    <w:rsid w:val="07207E00"/>
    <w:rsid w:val="07AC1AA6"/>
    <w:rsid w:val="086A1157"/>
    <w:rsid w:val="0C44710D"/>
    <w:rsid w:val="0EC17E69"/>
    <w:rsid w:val="12580ADD"/>
    <w:rsid w:val="17E61127"/>
    <w:rsid w:val="18FD7FFD"/>
    <w:rsid w:val="217F4616"/>
    <w:rsid w:val="22011960"/>
    <w:rsid w:val="23463B60"/>
    <w:rsid w:val="2416682B"/>
    <w:rsid w:val="28C640C2"/>
    <w:rsid w:val="29761C61"/>
    <w:rsid w:val="2BAD5B8F"/>
    <w:rsid w:val="2CA96432"/>
    <w:rsid w:val="2DC25FE3"/>
    <w:rsid w:val="2E561646"/>
    <w:rsid w:val="315715BD"/>
    <w:rsid w:val="32B2290A"/>
    <w:rsid w:val="330A479D"/>
    <w:rsid w:val="3436465B"/>
    <w:rsid w:val="34BF55EB"/>
    <w:rsid w:val="356208B6"/>
    <w:rsid w:val="3BC741C5"/>
    <w:rsid w:val="3DB67E70"/>
    <w:rsid w:val="3E03254A"/>
    <w:rsid w:val="4188011D"/>
    <w:rsid w:val="42B022DB"/>
    <w:rsid w:val="4A09035E"/>
    <w:rsid w:val="4B0C57FA"/>
    <w:rsid w:val="4ED8208A"/>
    <w:rsid w:val="4FBF74DD"/>
    <w:rsid w:val="53E421E6"/>
    <w:rsid w:val="5AB24E1C"/>
    <w:rsid w:val="5BF631BC"/>
    <w:rsid w:val="5E2D006B"/>
    <w:rsid w:val="5E457680"/>
    <w:rsid w:val="5E8437FD"/>
    <w:rsid w:val="5F381505"/>
    <w:rsid w:val="65451E65"/>
    <w:rsid w:val="65B923AD"/>
    <w:rsid w:val="668E32C6"/>
    <w:rsid w:val="66D54B4C"/>
    <w:rsid w:val="69C044BE"/>
    <w:rsid w:val="6BB85B51"/>
    <w:rsid w:val="6C7F7629"/>
    <w:rsid w:val="6CC72155"/>
    <w:rsid w:val="70A715A8"/>
    <w:rsid w:val="70B25908"/>
    <w:rsid w:val="70B95743"/>
    <w:rsid w:val="77B530D1"/>
    <w:rsid w:val="7B542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ody Text"/>
    <w:basedOn w:val="1"/>
    <w:qFormat/>
    <w:uiPriority w:val="0"/>
    <w:pPr>
      <w:tabs>
        <w:tab w:val="left" w:pos="0"/>
      </w:tabs>
      <w:spacing w:line="640" w:lineRule="atLeast"/>
    </w:pPr>
    <w:rPr>
      <w:rFonts w:eastAsia="仿宋_GB2312"/>
      <w:sz w:val="32"/>
    </w:rPr>
  </w:style>
  <w:style w:type="paragraph" w:styleId="3">
    <w:name w:val="Balloon Text"/>
    <w:basedOn w:val="1"/>
    <w:link w:val="11"/>
    <w:qFormat/>
    <w:uiPriority w:val="0"/>
    <w:rPr>
      <w:sz w:val="18"/>
      <w:szCs w:val="18"/>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rPr>
      <w:sz w:val="24"/>
    </w:rPr>
  </w:style>
  <w:style w:type="paragraph" w:customStyle="1" w:styleId="9">
    <w:name w:val="Char"/>
    <w:basedOn w:val="1"/>
    <w:semiHidden/>
    <w:qFormat/>
    <w:uiPriority w:val="0"/>
    <w:pPr>
      <w:widowControl/>
      <w:ind w:firstLine="420" w:firstLineChars="200"/>
      <w:jc w:val="left"/>
    </w:pPr>
    <w:rPr>
      <w:rFonts w:hAnsi="宋体"/>
      <w:color w:val="000000"/>
      <w:lang w:bidi="he-IL"/>
    </w:rPr>
  </w:style>
  <w:style w:type="character" w:customStyle="1" w:styleId="10">
    <w:name w:val="页脚 Char"/>
    <w:link w:val="4"/>
    <w:qFormat/>
    <w:uiPriority w:val="0"/>
    <w:rPr>
      <w:kern w:val="2"/>
      <w:sz w:val="18"/>
      <w:szCs w:val="18"/>
    </w:rPr>
  </w:style>
  <w:style w:type="character" w:customStyle="1" w:styleId="11">
    <w:name w:val="批注框文本 Char"/>
    <w:link w:val="3"/>
    <w:qFormat/>
    <w:uiPriority w:val="0"/>
    <w:rPr>
      <w:kern w:val="2"/>
      <w:sz w:val="18"/>
      <w:szCs w:val="18"/>
    </w:rPr>
  </w:style>
  <w:style w:type="character" w:customStyle="1" w:styleId="12">
    <w:name w:val="页眉 Char"/>
    <w:link w:val="5"/>
    <w:qFormat/>
    <w:uiPriority w:val="0"/>
    <w:rPr>
      <w:kern w:val="2"/>
      <w:sz w:val="18"/>
      <w:szCs w:val="18"/>
    </w:rPr>
  </w:style>
  <w:style w:type="character" w:customStyle="1" w:styleId="13">
    <w:name w:val="apple-converted-space"/>
    <w:basedOn w:val="8"/>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3692</Words>
  <Characters>5651</Characters>
  <Lines>46</Lines>
  <Paragraphs>13</Paragraphs>
  <TotalTime>13</TotalTime>
  <ScaleCrop>false</ScaleCrop>
  <LinksUpToDate>false</LinksUpToDate>
  <CharactersWithSpaces>5893</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2008-02-11T14:18:00Z</dcterms:created>
  <dc:creator>Administrator</dc:creator>
  <cp:lastModifiedBy>-----</cp:lastModifiedBy>
  <cp:lastPrinted>2021-12-29T02:51:00Z</cp:lastPrinted>
  <dcterms:modified xsi:type="dcterms:W3CDTF">2022-09-30T06:18:41Z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8C213950B4C54D9E9D8F4BDD9E404B85</vt:lpwstr>
  </property>
</Properties>
</file>